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F18F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4F4FAE">
              <w:rPr>
                <w:sz w:val="28"/>
                <w:szCs w:val="28"/>
              </w:rPr>
              <w:t>4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4F4FAE" w:rsidRDefault="004F4FAE" w:rsidP="005965B2">
            <w:pPr>
              <w:jc w:val="both"/>
            </w:pPr>
            <w:r w:rsidRPr="00A70B64">
              <w:rPr>
                <w:lang w:val="ru-RU"/>
              </w:rPr>
              <w:t>Лектира: Епске народне песме о Марку Краљевићу</w:t>
            </w:r>
            <w:r w:rsidRPr="00A70B64">
              <w:t xml:space="preserve"> </w:t>
            </w:r>
          </w:p>
          <w:p w:rsidR="00DF18FC" w:rsidRDefault="00DF18FC" w:rsidP="005965B2">
            <w:pPr>
              <w:jc w:val="both"/>
            </w:pPr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E5B80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 xml:space="preserve">уважавање </w:t>
            </w:r>
            <w:r w:rsidR="009E5B80">
              <w:rPr>
                <w:sz w:val="28"/>
                <w:szCs w:val="28"/>
              </w:rPr>
              <w:t>народне књижевности</w:t>
            </w:r>
            <w:r w:rsidR="00DF18FC">
              <w:rPr>
                <w:sz w:val="28"/>
                <w:szCs w:val="28"/>
                <w:lang w:val="sr-Cyrl-CS"/>
              </w:rPr>
              <w:t>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DF18FC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4F4FAE">
              <w:rPr>
                <w:lang w:val="sr-Cyrl-CS"/>
              </w:rPr>
              <w:t xml:space="preserve"> </w:t>
            </w:r>
            <w:r w:rsidR="004F4FAE" w:rsidRPr="00A70B64">
              <w:rPr>
                <w:lang w:val="sr-Cyrl-CS"/>
              </w:rPr>
              <w:t xml:space="preserve"> 99 – 104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F4FAE" w:rsidRPr="00DA4BB9" w:rsidRDefault="004F4FAE" w:rsidP="004F4FAE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4F4FAE" w:rsidRPr="00DA4BB9" w:rsidRDefault="004F4FAE" w:rsidP="004F4FAE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4F4FAE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5F2437" w:rsidRDefault="005367FD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</w:t>
            </w:r>
            <w:r w:rsidR="00AC0378">
              <w:rPr>
                <w:sz w:val="28"/>
                <w:szCs w:val="28"/>
                <w:lang w:val="sr-Cyrl-CS"/>
              </w:rPr>
              <w:t>ма се поставља питање: Шта знате</w:t>
            </w:r>
            <w:r>
              <w:rPr>
                <w:sz w:val="28"/>
                <w:szCs w:val="28"/>
                <w:lang w:val="sr-Cyrl-CS"/>
              </w:rPr>
              <w:t xml:space="preserve"> о </w:t>
            </w:r>
            <w:r w:rsidR="005F2437">
              <w:rPr>
                <w:sz w:val="28"/>
                <w:szCs w:val="28"/>
                <w:lang w:val="sr-Cyrl-CS"/>
              </w:rPr>
              <w:t>Муси Кесеџији? Да ли је он историјска личност?</w:t>
            </w:r>
          </w:p>
          <w:p w:rsidR="008751C1" w:rsidRPr="00ED0AE4" w:rsidRDefault="008751C1" w:rsidP="005F2437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7904BA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 песме Марко Краљевић и Муса Кесеџија.</w:t>
            </w:r>
          </w:p>
          <w:p w:rsidR="00C15400" w:rsidRDefault="00C15400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C15400" w:rsidRDefault="00C15400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речима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Кесеџија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најављује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побуну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против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турског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недела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чинио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Мусиних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поступака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904BA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указује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цару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као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јединог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јунака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може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супротставити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страшном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Муси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Кесеџији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којих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сазнајеш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изгледао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након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три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године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изведен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тамнице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стилском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фигуром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дочаран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његов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изглед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њеном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употребом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желео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постигне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народни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певач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проверава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ли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спреман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мегдан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lastRenderedPageBreak/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наљутио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ковача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Новака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њему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поступио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неколико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његових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особина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Муса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Кесеџија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говори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разликама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њиховом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одрастању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стилска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фигура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употребљена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би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разлике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биле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дочаране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Опиши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мегдан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два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јунака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сталне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епитете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народни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певач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употребио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описујући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тај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мегдан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кога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потражио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помоћ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јунаштву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Мусе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Кесеџије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саветовала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вила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Пронађу</w:t>
            </w:r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>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хиперболу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описан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Муса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Кесеџија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заплакао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њему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5400" w:rsidRDefault="00C15400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Марково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признање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Кесеџија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бољи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7904BA" w:rsidP="00C15400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>–</w:t>
            </w:r>
            <w:r w:rsidR="00C15400"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којих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подсмева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турском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цару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7904BA" w:rsidP="00AC037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>–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заједничке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Мусе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Кесеџије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а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потом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 w:rsidR="00AC037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разликују</w:t>
            </w:r>
            <w:proofErr w:type="spellEnd"/>
            <w:r w:rsidR="00C15400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5400" w:rsidRDefault="00C15400" w:rsidP="00C15400">
            <w:pPr>
              <w:jc w:val="both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C15400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</w:t>
            </w:r>
            <w:r w:rsidR="00C15400">
              <w:rPr>
                <w:sz w:val="28"/>
                <w:szCs w:val="28"/>
                <w:lang w:val="sr-Cyrl-CS"/>
              </w:rPr>
              <w:t>у вези са ликом Марка Краљевића.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C15400" w:rsidRPr="00A70B64" w:rsidRDefault="00D3124F" w:rsidP="00C1540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C15400" w:rsidRPr="00A70B64">
              <w:rPr>
                <w:lang w:val="ru-RU"/>
              </w:rPr>
              <w:t>дреди род књижевног дела и књижевну врсту;</w:t>
            </w:r>
          </w:p>
          <w:p w:rsidR="00C15400" w:rsidRPr="00A70B64" w:rsidRDefault="00C15400" w:rsidP="00C1540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C15400" w:rsidRPr="00A70B64" w:rsidRDefault="00C15400" w:rsidP="00C1540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C15400" w:rsidRPr="00A70B64" w:rsidRDefault="00C15400" w:rsidP="00C1540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C15400" w:rsidRPr="00A70B64" w:rsidRDefault="00C15400" w:rsidP="00C1540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C15400" w:rsidRPr="00A70B64" w:rsidRDefault="00C15400" w:rsidP="00C1540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C15400" w:rsidP="00C15400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1F5A07"/>
    <w:rsid w:val="00206099"/>
    <w:rsid w:val="0025080A"/>
    <w:rsid w:val="002543D1"/>
    <w:rsid w:val="00257861"/>
    <w:rsid w:val="00390D36"/>
    <w:rsid w:val="003A46BC"/>
    <w:rsid w:val="003B0F6A"/>
    <w:rsid w:val="004656E4"/>
    <w:rsid w:val="004F4FAE"/>
    <w:rsid w:val="0050540A"/>
    <w:rsid w:val="005367FD"/>
    <w:rsid w:val="00536CEB"/>
    <w:rsid w:val="005A3917"/>
    <w:rsid w:val="005F2437"/>
    <w:rsid w:val="007904BA"/>
    <w:rsid w:val="0083689C"/>
    <w:rsid w:val="0084524C"/>
    <w:rsid w:val="008751C1"/>
    <w:rsid w:val="008A1296"/>
    <w:rsid w:val="008D700D"/>
    <w:rsid w:val="00985F91"/>
    <w:rsid w:val="009A492C"/>
    <w:rsid w:val="009C1188"/>
    <w:rsid w:val="009E5B80"/>
    <w:rsid w:val="00A30C03"/>
    <w:rsid w:val="00AB589F"/>
    <w:rsid w:val="00AC0378"/>
    <w:rsid w:val="00B07202"/>
    <w:rsid w:val="00B86010"/>
    <w:rsid w:val="00B8671F"/>
    <w:rsid w:val="00BA2D34"/>
    <w:rsid w:val="00BC1368"/>
    <w:rsid w:val="00BE34A8"/>
    <w:rsid w:val="00C15400"/>
    <w:rsid w:val="00C27AAC"/>
    <w:rsid w:val="00CC4144"/>
    <w:rsid w:val="00CC493D"/>
    <w:rsid w:val="00D15221"/>
    <w:rsid w:val="00D3124F"/>
    <w:rsid w:val="00D410C5"/>
    <w:rsid w:val="00DA4134"/>
    <w:rsid w:val="00DF18FC"/>
    <w:rsid w:val="00E41514"/>
    <w:rsid w:val="00E57BEC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4F4FAE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4F4FAE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494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30</cp:revision>
  <dcterms:created xsi:type="dcterms:W3CDTF">2018-08-29T15:16:00Z</dcterms:created>
  <dcterms:modified xsi:type="dcterms:W3CDTF">2019-11-09T08:02:00Z</dcterms:modified>
</cp:coreProperties>
</file>