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A43F62" w:rsidP="008C3CA8">
            <w:pPr>
              <w:jc w:val="center"/>
              <w:rPr>
                <w:lang w:val="sr-Latn-CS"/>
              </w:rPr>
            </w:pPr>
            <w:r>
              <w:t>48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C83ACF" w:rsidP="00A43F62">
            <w:pPr>
              <w:jc w:val="both"/>
              <w:rPr>
                <w:lang w:val="sr-Cyrl-CS"/>
              </w:rPr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="00A43F62">
              <w:rPr>
                <w:i/>
              </w:rPr>
              <w:t>Сибилари</w:t>
            </w:r>
            <w:r w:rsidRPr="00A70B64">
              <w:rPr>
                <w:i/>
              </w:rPr>
              <w:t>зација</w:t>
            </w:r>
            <w:proofErr w:type="spellEnd"/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>
              <w:rPr>
                <w:lang w:val="sr-Cyrl-CS"/>
              </w:rPr>
              <w:t xml:space="preserve">науче у којим се условима дешава палатализација </w:t>
            </w:r>
            <w:r w:rsidRPr="000574C5">
              <w:rPr>
                <w:lang w:val="sr-Cyrl-CS"/>
              </w:rPr>
              <w:t>и да своје знање примене у правилном изражавању.</w:t>
            </w: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3B774E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A31878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3B774E"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A31878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A43F62">
              <w:rPr>
                <w:lang w:val="sr-Cyrl-CS"/>
              </w:rPr>
              <w:t>Ф</w:t>
            </w:r>
            <w:r w:rsidR="003B774E">
              <w:rPr>
                <w:lang w:val="sr-Cyrl-CS"/>
              </w:rPr>
              <w:t>ронтални, 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A31878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3B774E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A43F62" w:rsidRDefault="00B10D9A" w:rsidP="006A55D9">
            <w:r w:rsidRPr="001A474A">
              <w:rPr>
                <w:i/>
                <w:lang w:val="sr-Cyrl-CS"/>
              </w:rPr>
              <w:t>Наставна средства</w:t>
            </w:r>
            <w:r w:rsidR="00A31878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 </w:t>
            </w:r>
            <w:r w:rsidR="00786B41" w:rsidRPr="00A70B64">
              <w:t>39</w:t>
            </w:r>
            <w:r w:rsidR="00A43F62">
              <w:t xml:space="preserve"> – 42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D02E25">
              <w:t>обнављају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се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усвојена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знања</w:t>
            </w:r>
            <w:proofErr w:type="spellEnd"/>
            <w:r w:rsidR="00D02E25" w:rsidRPr="00D02E25">
              <w:t xml:space="preserve"> о </w:t>
            </w:r>
            <w:r w:rsidR="00A43F62">
              <w:t>палатализацији</w:t>
            </w:r>
            <w:r w:rsidR="00D02E25" w:rsidRPr="00D02E25">
              <w:t>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0130C0" w:rsidRPr="000130C0" w:rsidRDefault="006718A7" w:rsidP="000130C0">
            <w:pPr>
              <w:jc w:val="both"/>
              <w:rPr>
                <w:rFonts w:eastAsia="ResavskaBG"/>
                <w:color w:val="000000"/>
                <w:lang w:eastAsia="sr-Latn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52199">
              <w:rPr>
                <w:lang w:val="sr-Cyrl-CS"/>
              </w:rPr>
              <w:t xml:space="preserve">У првом делу часа </w:t>
            </w:r>
            <w:r w:rsidR="0061109C">
              <w:rPr>
                <w:lang w:val="sr-Cyrl-CS"/>
              </w:rPr>
              <w:t>ученицима се дају примери у ко</w:t>
            </w:r>
            <w:r w:rsidR="000130C0">
              <w:rPr>
                <w:lang w:val="sr-Cyrl-CS"/>
              </w:rPr>
              <w:t>јима је  извршена сибиларизација</w:t>
            </w:r>
            <w:r w:rsidR="0061109C">
              <w:rPr>
                <w:lang w:val="sr-Cyrl-CS"/>
              </w:rPr>
              <w:t xml:space="preserve">. Нпр. </w:t>
            </w:r>
            <w:r w:rsidR="000130C0" w:rsidRPr="000130C0">
              <w:rPr>
                <w:rFonts w:eastAsia="ResavskaBG"/>
                <w:color w:val="000000"/>
                <w:lang w:eastAsia="sr-Latn-CS"/>
              </w:rPr>
              <w:t>Упореди и следеће примере: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У дворишту се налази велики орах.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Највише волим колаче са орасима.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ора</w:t>
            </w:r>
            <w:r w:rsidRPr="000130C0">
              <w:rPr>
                <w:rFonts w:eastAsia="ResavskaBG-Bold"/>
                <w:b/>
                <w:bCs/>
                <w:color w:val="FF0000"/>
                <w:lang w:eastAsia="sr-Latn-CS"/>
              </w:rPr>
              <w:t>х</w:t>
            </w:r>
            <w:proofErr w:type="spellEnd"/>
            <w:r w:rsidRPr="000130C0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- </w:t>
            </w:r>
            <w:r w:rsidRPr="000130C0">
              <w:rPr>
                <w:rFonts w:eastAsia="ResavskaBG"/>
                <w:color w:val="000000"/>
                <w:lang w:eastAsia="sr-Latn-CS"/>
              </w:rPr>
              <w:t>+ -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има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ора</w:t>
            </w:r>
            <w:r w:rsidRPr="000130C0">
              <w:rPr>
                <w:rFonts w:eastAsia="ResavskaBG-Bold"/>
                <w:b/>
                <w:bCs/>
                <w:color w:val="FF0000"/>
                <w:lang w:eastAsia="sr-Latn-CS"/>
              </w:rPr>
              <w:t>с</w:t>
            </w:r>
            <w:r w:rsidRPr="000130C0">
              <w:rPr>
                <w:rFonts w:eastAsia="ResavskaBG"/>
                <w:color w:val="000000"/>
                <w:lang w:eastAsia="sr-Latn-CS"/>
              </w:rPr>
              <w:t>има</w:t>
            </w:r>
            <w:proofErr w:type="spellEnd"/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Носорог је сисар из породице копитара.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Носорози имају велико тело и кратке, дебеле ноге.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носоро</w:t>
            </w:r>
            <w:r w:rsidRPr="000130C0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г- </w:t>
            </w:r>
            <w:r w:rsidRPr="000130C0">
              <w:rPr>
                <w:rFonts w:eastAsia="ResavskaBG"/>
                <w:color w:val="000000"/>
                <w:lang w:eastAsia="sr-Latn-CS"/>
              </w:rPr>
              <w:t>+ -</w:t>
            </w:r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и </w:t>
            </w:r>
            <w:r w:rsidRPr="000130C0">
              <w:rPr>
                <w:rFonts w:eastAsia="ResavskaBG"/>
                <w:color w:val="000000"/>
                <w:lang w:eastAsia="sr-Latn-CS"/>
              </w:rPr>
              <w:t>&gt; носоро</w:t>
            </w:r>
            <w:r w:rsidRPr="000130C0">
              <w:rPr>
                <w:rFonts w:eastAsia="ResavskaBG-Bold"/>
                <w:b/>
                <w:bCs/>
                <w:color w:val="FF0000"/>
                <w:lang w:eastAsia="sr-Latn-CS"/>
              </w:rPr>
              <w:t>з</w:t>
            </w:r>
            <w:r w:rsidRPr="000130C0">
              <w:rPr>
                <w:rFonts w:eastAsia="ResavskaBG"/>
                <w:color w:val="000000"/>
                <w:lang w:eastAsia="sr-Latn-CS"/>
              </w:rPr>
              <w:t>и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b/>
                <w:bCs/>
                <w:color w:val="810000"/>
                <w:sz w:val="28"/>
                <w:szCs w:val="28"/>
                <w:lang w:eastAsia="sr-Latn-CS"/>
              </w:rPr>
            </w:pP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Сибиларизација се најчешће врши у: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а) дативу и локативу једнине именица женског рода чија се основа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 xml:space="preserve">завршава на </w:t>
            </w:r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к, г, х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: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рука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руци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слога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слози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снаха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снаси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>;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 xml:space="preserve">б) неким падежима множине именица мушког рода чија се основа завршава на </w:t>
            </w:r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к, г, х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: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јунак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јунаци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јунацима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бубрег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бубрези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бубрезима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и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сл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>.;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 xml:space="preserve">в) неким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глаголским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облицима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: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сећи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(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сек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-) 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сеци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лећи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(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лег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-) – </w:t>
            </w:r>
            <w:proofErr w:type="spellStart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>лези</w:t>
            </w:r>
            <w:proofErr w:type="spellEnd"/>
            <w:r w:rsidRPr="000130C0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0130C0">
              <w:rPr>
                <w:rFonts w:eastAsia="ResavskaBG"/>
                <w:color w:val="000000"/>
                <w:lang w:eastAsia="sr-Latn-CS"/>
              </w:rPr>
              <w:t>и др.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 xml:space="preserve">До сибиларизације не долази у појединим случајевима.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То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изузеци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овог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правила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>. На пример: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Рекао сам Олги да ми се једу палачинке.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0130C0">
              <w:rPr>
                <w:rFonts w:eastAsia="ResavskaBG"/>
                <w:color w:val="000000"/>
                <w:lang w:eastAsia="sr-Latn-CS"/>
              </w:rPr>
              <w:t>Њеној баки није било тешко да их спреми.</w:t>
            </w: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0130C0" w:rsidRPr="000130C0" w:rsidRDefault="000130C0" w:rsidP="000130C0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 w:rsidRPr="000130C0">
              <w:rPr>
                <w:rFonts w:eastAsia="ResavskaBG-Bold"/>
                <w:b/>
                <w:bCs/>
                <w:color w:val="000000"/>
                <w:lang w:eastAsia="sr-Latn-CS"/>
              </w:rPr>
              <w:t>Сибиларизација</w:t>
            </w:r>
            <w:proofErr w:type="spellEnd"/>
            <w:r w:rsidRPr="000130C0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гласовна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промена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при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којој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задњонепчани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0130C0">
              <w:rPr>
                <w:rFonts w:eastAsia="ResavskaBG"/>
                <w:color w:val="000000"/>
                <w:lang w:eastAsia="sr-Latn-CS"/>
              </w:rPr>
              <w:t>сугласници</w:t>
            </w:r>
            <w:proofErr w:type="spellEnd"/>
            <w:r w:rsidRPr="000130C0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0130C0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, </w:t>
            </w:r>
            <w:r w:rsidRPr="000130C0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г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, </w:t>
            </w:r>
            <w:r w:rsidRPr="000130C0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х 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испред вокала </w:t>
            </w:r>
            <w:r w:rsidRPr="000130C0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и 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прелазе у зубне </w:t>
            </w:r>
            <w:r w:rsidRPr="000130C0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ц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, </w:t>
            </w:r>
            <w:r w:rsidRPr="000130C0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з</w:t>
            </w:r>
            <w:r w:rsidRPr="000130C0">
              <w:rPr>
                <w:rFonts w:eastAsia="ResavskaBG"/>
                <w:color w:val="000000"/>
                <w:lang w:eastAsia="sr-Latn-CS"/>
              </w:rPr>
              <w:t xml:space="preserve">, </w:t>
            </w:r>
            <w:r w:rsidRPr="000130C0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с</w:t>
            </w:r>
            <w:r w:rsidRPr="000130C0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0130C0" w:rsidRPr="000130C0" w:rsidRDefault="000130C0" w:rsidP="0061109C">
            <w:pPr>
              <w:jc w:val="both"/>
              <w:rPr>
                <w:lang w:val="sr-Cyrl-CS"/>
              </w:rPr>
            </w:pPr>
          </w:p>
          <w:p w:rsidR="000130C0" w:rsidRDefault="000130C0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6D785D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6D785D">
              <w:rPr>
                <w:lang w:val="sr-Cyrl-CS"/>
              </w:rPr>
              <w:t>пажња се поклања изуцима од гла</w:t>
            </w:r>
            <w:r w:rsidR="000130C0">
              <w:rPr>
                <w:lang w:val="sr-Cyrl-CS"/>
              </w:rPr>
              <w:t>совне пром</w:t>
            </w:r>
            <w:r w:rsidR="00CE6FBB">
              <w:rPr>
                <w:lang w:val="sr-Cyrl-CS"/>
              </w:rPr>
              <w:t>ене. Ученици сам</w:t>
            </w:r>
            <w:r w:rsidR="000130C0">
              <w:rPr>
                <w:lang w:val="sr-Cyrl-CS"/>
              </w:rPr>
              <w:t>и дају примере.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130C0"/>
    <w:rsid w:val="0009003C"/>
    <w:rsid w:val="00091D0C"/>
    <w:rsid w:val="0009332F"/>
    <w:rsid w:val="00093D35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A206D"/>
    <w:rsid w:val="005D09EC"/>
    <w:rsid w:val="0060450C"/>
    <w:rsid w:val="0061109C"/>
    <w:rsid w:val="00652728"/>
    <w:rsid w:val="006718A7"/>
    <w:rsid w:val="006A55D9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B3259"/>
    <w:rsid w:val="008D0913"/>
    <w:rsid w:val="00924BB1"/>
    <w:rsid w:val="009A6F26"/>
    <w:rsid w:val="009A6F79"/>
    <w:rsid w:val="009D4075"/>
    <w:rsid w:val="00A1129C"/>
    <w:rsid w:val="00A31878"/>
    <w:rsid w:val="00A43F62"/>
    <w:rsid w:val="00A67063"/>
    <w:rsid w:val="00AC6AAD"/>
    <w:rsid w:val="00B10D9A"/>
    <w:rsid w:val="00B128B9"/>
    <w:rsid w:val="00B42BCE"/>
    <w:rsid w:val="00B6780D"/>
    <w:rsid w:val="00B8096F"/>
    <w:rsid w:val="00B942B6"/>
    <w:rsid w:val="00C02C28"/>
    <w:rsid w:val="00C35860"/>
    <w:rsid w:val="00C70F1A"/>
    <w:rsid w:val="00C83ACF"/>
    <w:rsid w:val="00CE6FBB"/>
    <w:rsid w:val="00D02E25"/>
    <w:rsid w:val="00D52199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302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58</cp:revision>
  <dcterms:created xsi:type="dcterms:W3CDTF">2018-08-30T21:02:00Z</dcterms:created>
  <dcterms:modified xsi:type="dcterms:W3CDTF">2019-11-03T20:19:00Z</dcterms:modified>
</cp:coreProperties>
</file>