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0C045F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E913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="003321C2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="003321C2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="003321C2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3321C2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0C045F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255D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6255D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255D4">
              <w:rPr>
                <w:rFonts w:ascii="Times New Roman" w:eastAsia="Times New Roman" w:hAnsi="Times New Roman"/>
                <w:bCs/>
                <w:lang w:val="ru-RU"/>
              </w:rPr>
              <w:t>СТАНОВНИШТВО</w:t>
            </w:r>
          </w:p>
        </w:tc>
      </w:tr>
      <w:tr w:rsidR="00D0461E" w:rsidRPr="000C045F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6255D4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255D4" w:rsidRPr="00625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Становништво света у прошлости и данас</w:t>
            </w:r>
            <w:r w:rsidR="006255D4" w:rsidRPr="00EA6DF2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D0461E" w:rsidP="00D00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0AF4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0C045F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236C6" w:rsidRPr="00A236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појам становништва, области на Земљи коју насељавају, густине насељености</w:t>
            </w:r>
          </w:p>
        </w:tc>
      </w:tr>
      <w:tr w:rsidR="00A45210" w:rsidRPr="000C045F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CA0631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A236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треба да усвоје </w:t>
            </w:r>
            <w:r w:rsidR="00CA0631" w:rsidRPr="00CA0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појам становништва, екумене, густине насељености</w:t>
            </w:r>
          </w:p>
          <w:p w:rsidR="00A45210" w:rsidRPr="00CA0631" w:rsidRDefault="00A45210" w:rsidP="00A45210">
            <w:pPr>
              <w:rPr>
                <w:i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CA0631" w:rsidRPr="00CA06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основних појмова о друштвеном окружењу и њихово повезивање</w:t>
            </w:r>
            <w:r w:rsidR="00CA06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CA0631" w:rsidRPr="00CA0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оспособљавање ученика за учешће у дискусији, поштовање туђег мишљења</w:t>
            </w:r>
            <w:r w:rsidR="00537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537628" w:rsidRPr="005376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учење у сарадњи са другима</w:t>
            </w:r>
          </w:p>
        </w:tc>
      </w:tr>
      <w:tr w:rsidR="00D0461E" w:rsidRPr="000C045F" w:rsidTr="00F05659">
        <w:tc>
          <w:tcPr>
            <w:tcW w:w="9576" w:type="dxa"/>
            <w:shd w:val="clear" w:color="auto" w:fill="C2D69B" w:themeFill="accent3" w:themeFillTint="99"/>
          </w:tcPr>
          <w:p w:rsidR="00670648" w:rsidRPr="00E4656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6255D4" w:rsidRPr="007662F0" w:rsidRDefault="006255D4" w:rsidP="006255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-доводи у везу размештај светског  становништва са природним  карактеристикама простора</w:t>
            </w:r>
          </w:p>
          <w:p w:rsidR="006255D4" w:rsidRPr="007662F0" w:rsidRDefault="006255D4" w:rsidP="006255D4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7662F0">
              <w:rPr>
                <w:color w:val="1F1E21"/>
                <w:lang w:val="ru-RU"/>
              </w:rPr>
              <w:t>-објасни појам демографија</w:t>
            </w:r>
          </w:p>
          <w:p w:rsidR="006255D4" w:rsidRPr="007662F0" w:rsidRDefault="006255D4" w:rsidP="006255D4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7662F0">
              <w:rPr>
                <w:color w:val="1F1E21"/>
                <w:lang w:val="ru-RU"/>
              </w:rPr>
              <w:t>-изводи закључак које области географије проучава демографија</w:t>
            </w:r>
          </w:p>
          <w:p w:rsidR="006255D4" w:rsidRPr="007662F0" w:rsidRDefault="006255D4" w:rsidP="006255D4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7662F0">
              <w:rPr>
                <w:color w:val="1F1E21"/>
                <w:lang w:val="ru-RU"/>
              </w:rPr>
              <w:t>-објасни појам густине насељености</w:t>
            </w:r>
          </w:p>
          <w:p w:rsidR="006255D4" w:rsidRPr="007662F0" w:rsidRDefault="006255D4" w:rsidP="006255D4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7662F0">
              <w:rPr>
                <w:color w:val="1F1E21"/>
                <w:lang w:val="ru-RU"/>
              </w:rPr>
              <w:t>-зна да израчуна густину насељености на конкретном примеру</w:t>
            </w:r>
          </w:p>
          <w:p w:rsidR="006255D4" w:rsidRPr="007662F0" w:rsidRDefault="006255D4" w:rsidP="006255D4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7662F0">
              <w:rPr>
                <w:color w:val="1F1E21"/>
                <w:lang w:val="ru-RU"/>
              </w:rPr>
              <w:t>-објасни појам екумене и анекумене</w:t>
            </w:r>
          </w:p>
          <w:p w:rsidR="006255D4" w:rsidRPr="007662F0" w:rsidRDefault="006255D4" w:rsidP="006255D4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7662F0">
              <w:rPr>
                <w:color w:val="1F1E21"/>
                <w:lang w:val="ru-RU"/>
              </w:rPr>
              <w:t>-разуме разлику између екумене и анекумене</w:t>
            </w:r>
          </w:p>
          <w:p w:rsidR="006255D4" w:rsidRPr="007662F0" w:rsidRDefault="006255D4" w:rsidP="006255D4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7662F0">
              <w:rPr>
                <w:color w:val="1F1E21"/>
                <w:lang w:val="ru-RU"/>
              </w:rPr>
              <w:t>-уме да покаже на карти области које су екумена или анекумена</w:t>
            </w:r>
          </w:p>
          <w:p w:rsidR="006255D4" w:rsidRPr="007662F0" w:rsidRDefault="006255D4" w:rsidP="006255D4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7662F0">
              <w:rPr>
                <w:color w:val="1F1E21"/>
                <w:lang w:val="ru-RU"/>
              </w:rPr>
              <w:t xml:space="preserve">-објасни појам броја становника </w:t>
            </w:r>
          </w:p>
          <w:p w:rsidR="006255D4" w:rsidRPr="007662F0" w:rsidRDefault="006255D4" w:rsidP="006255D4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7662F0">
              <w:rPr>
                <w:color w:val="1F1E21"/>
                <w:lang w:val="ru-RU"/>
              </w:rPr>
              <w:t xml:space="preserve">-на графикону анализира број становника </w:t>
            </w:r>
          </w:p>
          <w:p w:rsidR="006255D4" w:rsidRPr="007662F0" w:rsidRDefault="006255D4" w:rsidP="006255D4">
            <w:pPr>
              <w:pStyle w:val="osnovni-txt"/>
              <w:spacing w:before="0" w:beforeAutospacing="0" w:after="54" w:afterAutospacing="0"/>
              <w:rPr>
                <w:color w:val="1F1E21"/>
                <w:lang w:val="ru-RU"/>
              </w:rPr>
            </w:pPr>
            <w:r w:rsidRPr="007662F0">
              <w:rPr>
                <w:color w:val="1F1E21"/>
                <w:lang w:val="ru-RU"/>
              </w:rPr>
              <w:t>-објасни појам попис становништва</w:t>
            </w:r>
          </w:p>
          <w:p w:rsidR="006255D4" w:rsidRPr="007662F0" w:rsidRDefault="006255D4" w:rsidP="006255D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научено градиво примењује у пракси</w:t>
            </w:r>
          </w:p>
          <w:p w:rsidR="006255D4" w:rsidRPr="007662F0" w:rsidRDefault="006255D4" w:rsidP="006255D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активно </w:t>
            </w:r>
            <w:r w:rsidRPr="007662F0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  <w:p w:rsidR="00E46568" w:rsidRPr="00E46568" w:rsidRDefault="00E46568" w:rsidP="006255D4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664F16" w:rsidRPr="000C045F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662F0" w:rsidRPr="00A3007C" w:rsidRDefault="00670648" w:rsidP="007662F0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720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62F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="007662F0" w:rsidRPr="007662F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  <w:r w:rsid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="007662F0" w:rsidRPr="007662F0">
              <w:rPr>
                <w:rFonts w:ascii="Times New Roman" w:hAnsi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="007662F0" w:rsidRPr="00BD0349">
              <w:rPr>
                <w:rFonts w:ascii="Times New Roman" w:hAnsi="Times New Roman"/>
                <w:lang w:val="ru-RU"/>
              </w:rPr>
              <w:t xml:space="preserve">. </w:t>
            </w:r>
            <w:r w:rsidR="007662F0" w:rsidRPr="00BD03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познаје основне демографске појмове као што су број становника света, Европе или своје </w:t>
            </w:r>
            <w:r w:rsidR="007662F0" w:rsidRPr="007662F0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="007662F0" w:rsidRPr="00BD03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емље, попис становника, демографија, густина насељености.                                                                           </w:t>
            </w:r>
            <w:r w:rsidR="007662F0"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</w:t>
            </w:r>
            <w:r w:rsidR="007662F0" w:rsidRPr="00BD03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Г.Е. 1.1.3. Ученик може на географској карти, на основу картографских знакова, да уочи просторни распоред становништва и издвоји насељене и ненасељене области (екумена и анекумена).</w:t>
            </w:r>
          </w:p>
          <w:p w:rsidR="007662F0" w:rsidRPr="00BD0349" w:rsidRDefault="007662F0" w:rsidP="007662F0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D03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7662F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7662F0">
              <w:rPr>
                <w:lang w:val="ru-RU"/>
              </w:rPr>
              <w:t>-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уѕбенику и радној свесци. </w:t>
            </w:r>
            <w:r w:rsidR="00817855" w:rsidRPr="00BD0349">
              <w:rPr>
                <w:rFonts w:ascii="Times New Roman" w:hAnsi="Times New Roman"/>
                <w:sz w:val="24"/>
                <w:szCs w:val="24"/>
                <w:lang w:val="ru-RU"/>
              </w:rPr>
              <w:t>Израчунава густину насељености према датим подацима.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Г.Е. 2.1.4. Показује понуђене податке на немој карти. </w:t>
            </w:r>
          </w:p>
          <w:p w:rsidR="00664F16" w:rsidRDefault="007662F0" w:rsidP="007662F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03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7662F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Г.Е. 3.3.1.</w:t>
            </w:r>
            <w:r w:rsidRPr="007662F0">
              <w:rPr>
                <w:lang w:val="ru-RU"/>
              </w:rPr>
              <w:t xml:space="preserve"> </w:t>
            </w:r>
            <w:r w:rsidRPr="00BD0349">
              <w:rPr>
                <w:lang w:val="ru-RU"/>
              </w:rPr>
              <w:t xml:space="preserve"> 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Објашњава утицај природних и друштвених фактора на развој и размештај 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становништва и насеља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7662F0" w:rsidRPr="00084F60" w:rsidRDefault="007662F0" w:rsidP="007662F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0C045F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3F6C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255D4" w:rsidRPr="00625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становништво, попис становника, демографија</w:t>
            </w:r>
            <w:r w:rsidR="00817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густина насељености.</w:t>
            </w:r>
          </w:p>
        </w:tc>
      </w:tr>
      <w:tr w:rsidR="00545C96" w:rsidRPr="000C045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10871" w:rsidRPr="008108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индивидуални, рад у пару</w:t>
            </w:r>
          </w:p>
        </w:tc>
      </w:tr>
      <w:tr w:rsidR="00545C96" w:rsidRPr="000C045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810871" w:rsidRPr="008108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монолошка, рад на тексту</w:t>
            </w:r>
          </w:p>
        </w:tc>
      </w:tr>
      <w:tr w:rsidR="00545C96" w:rsidRPr="000C045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B1573D" w:rsidRPr="000C045F" w:rsidTr="00F05659">
        <w:tc>
          <w:tcPr>
            <w:tcW w:w="9576" w:type="dxa"/>
            <w:shd w:val="clear" w:color="auto" w:fill="C2D69B" w:themeFill="accent3" w:themeFillTint="99"/>
          </w:tcPr>
          <w:p w:rsidR="00B1573D" w:rsidRDefault="00B1573D" w:rsidP="007662F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0C045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0C045F" w:rsidTr="00A236C6">
        <w:tc>
          <w:tcPr>
            <w:tcW w:w="9576" w:type="dxa"/>
          </w:tcPr>
          <w:p w:rsidR="0096516D" w:rsidRPr="00545C96" w:rsidRDefault="00CA0631" w:rsidP="00882C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Укратко, путем питања увести ученике у наставну јединицу.</w:t>
            </w:r>
            <w:r w:rsidR="00882C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Могућа питања: Који је предмет проучавања географије? На које науке се дели географија? Шта проучава физичка, шта друштвена , а шта регионална географија? Наредних часова проучаваћемо друштвену географију, а у оквиру ње, становништво света, његове карактеристике, насеља и привреду људи .</w:t>
            </w:r>
          </w:p>
        </w:tc>
      </w:tr>
      <w:tr w:rsidR="00545C96" w:rsidRPr="000C045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0C045F" w:rsidTr="00A236C6">
        <w:tc>
          <w:tcPr>
            <w:tcW w:w="9576" w:type="dxa"/>
          </w:tcPr>
          <w:p w:rsidR="001C6C13" w:rsidRDefault="000E37D2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263F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Погледајте карту света. На Земљи се налазе различити предели. Неки </w:t>
            </w:r>
            <w:r w:rsidR="00A079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имају добре услове за живот, а други веома лоше. У којим пределима су услови за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живот толико лоши, да су ппотпуно</w:t>
            </w:r>
            <w:r w:rsidR="00A079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ненасељени? (Поларне области, пустиње, тешко проходни делови прашума, високи планински врхови) Покажите их на вашим картама у Атласу. Наставник на карти света показује заједно са ученицима и помаже им у сналажењу на карти.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Ови ненасељени предели називају се анекумена. За разлику од њих, сви остали насељени делови, називају се екумена. </w:t>
            </w:r>
          </w:p>
          <w:p w:rsidR="00902AB2" w:rsidRDefault="000E37D2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Да ли знате да на Земљи данас живи преко 7 милијарди људи? Погледајте карту у вашем уџбенику на стр. 40. Она показује данашњу насељеност Земље. Које земље су најнасељеније?(Кина</w:t>
            </w:r>
            <w:r w:rsidR="00E913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Индија, САД) Оволика насељенос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 није била одувек. </w:t>
            </w:r>
            <w:r w:rsidR="00967E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Погледајмо графикон пораста броја становника на стр. 39. Колико је износио број становника у: а) старом веку, б) средњем веку, в) новом веку? У ком моменту се број становника почео нагло повећавати?(После завршетка Првог светског рата) </w:t>
            </w:r>
          </w:p>
          <w:p w:rsidR="00902AB2" w:rsidRDefault="00902AB2" w:rsidP="00902AB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Прочитајте из уџбеника на стр. 41 шта је то густина насељености и како се она израчунава  и забележите у својим свескама. Ученици раде самостално или са паром из клупе, а наставник их обилази и прати њихов рад. После завршеног задатка, забележити појам на табли.</w:t>
            </w:r>
          </w:p>
          <w:p w:rsidR="00810871" w:rsidRDefault="00810871" w:rsidP="00902AB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Анализирати густо насељене области света са природним условима територије коју насељавају. Уочити везу између њих. Нарочито инсистирати да уоче да су области уз обале веома насељене, објаснити.</w:t>
            </w:r>
          </w:p>
          <w:p w:rsidR="000E37D2" w:rsidRPr="00902AB2" w:rsidRDefault="00902AB2" w:rsidP="00902AB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902AB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Дати пример: површина Србије и њен број становника,</w:t>
            </w:r>
            <w:r w:rsidR="0081087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где</w:t>
            </w:r>
            <w:r w:rsidRPr="00902AB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ученици треба да израчунају густину насељености.</w:t>
            </w:r>
            <w:r w:rsidRPr="00902A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0C045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0C045F" w:rsidTr="00A236C6">
        <w:tc>
          <w:tcPr>
            <w:tcW w:w="9576" w:type="dxa"/>
          </w:tcPr>
          <w:p w:rsidR="005F784B" w:rsidRPr="00D86BBE" w:rsidRDefault="00810871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Укратко, усменим путем поновити градиво пређено на часу.</w:t>
            </w:r>
          </w:p>
        </w:tc>
      </w:tr>
      <w:tr w:rsidR="00B80B22" w:rsidRPr="00263F51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0C045F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A236C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0C045F" w:rsidTr="003321C2">
        <w:tc>
          <w:tcPr>
            <w:tcW w:w="9576" w:type="dxa"/>
          </w:tcPr>
          <w:p w:rsidR="001C6C13" w:rsidRPr="00545C96" w:rsidRDefault="001C6C13" w:rsidP="000C045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0C045F" w:rsidTr="003321C2">
        <w:tc>
          <w:tcPr>
            <w:tcW w:w="9576" w:type="dxa"/>
          </w:tcPr>
          <w:p w:rsidR="000E37D2" w:rsidRPr="00902AB2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A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</w:t>
            </w:r>
            <w:r w:rsidR="000E37D2" w:rsidRPr="00902A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</w:t>
            </w:r>
            <w:r w:rsidRPr="00902A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E37D2" w:rsidRPr="00902A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Становништво света у прошлости и данас  </w:t>
            </w:r>
          </w:p>
          <w:p w:rsidR="000E37D2" w:rsidRPr="00902AB2" w:rsidRDefault="000E37D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37D2" w:rsidRPr="00E91340" w:rsidRDefault="000E37D2" w:rsidP="00E9134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3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Екумена – насељени део Земље</w:t>
            </w:r>
          </w:p>
          <w:p w:rsidR="000E37D2" w:rsidRPr="00E91340" w:rsidRDefault="000E37D2" w:rsidP="00E9134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3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Анекумена – ненасељени део Земље</w:t>
            </w:r>
          </w:p>
          <w:p w:rsidR="00902AB2" w:rsidRPr="00E91340" w:rsidRDefault="00902AB2" w:rsidP="00E9134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3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Густина насељености је показатељ распореда становништва. Рачуна се као количник броја становника територије и њене површине у </w:t>
            </w:r>
            <w:r w:rsidRPr="00E91340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  <w:r w:rsidRPr="00E913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².</w:t>
            </w:r>
          </w:p>
          <w:p w:rsidR="00606767" w:rsidRPr="000E37D2" w:rsidRDefault="000E37D2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6DF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E7E86"/>
    <w:multiLevelType w:val="hybridMultilevel"/>
    <w:tmpl w:val="52145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240FB"/>
    <w:rsid w:val="000844D4"/>
    <w:rsid w:val="00084F60"/>
    <w:rsid w:val="000C045F"/>
    <w:rsid w:val="000E37D2"/>
    <w:rsid w:val="000F3164"/>
    <w:rsid w:val="001C6C13"/>
    <w:rsid w:val="00263F51"/>
    <w:rsid w:val="002720BC"/>
    <w:rsid w:val="003321C2"/>
    <w:rsid w:val="003F6C05"/>
    <w:rsid w:val="00464CE1"/>
    <w:rsid w:val="00537628"/>
    <w:rsid w:val="00545C96"/>
    <w:rsid w:val="005C4E5C"/>
    <w:rsid w:val="005F784B"/>
    <w:rsid w:val="00606767"/>
    <w:rsid w:val="006255D4"/>
    <w:rsid w:val="00664F16"/>
    <w:rsid w:val="00670648"/>
    <w:rsid w:val="006951D3"/>
    <w:rsid w:val="006D63A7"/>
    <w:rsid w:val="006F49FF"/>
    <w:rsid w:val="007450A3"/>
    <w:rsid w:val="007662F0"/>
    <w:rsid w:val="007900D0"/>
    <w:rsid w:val="00810871"/>
    <w:rsid w:val="00817855"/>
    <w:rsid w:val="00882CFA"/>
    <w:rsid w:val="008F0F0B"/>
    <w:rsid w:val="00902AB2"/>
    <w:rsid w:val="0096516D"/>
    <w:rsid w:val="00967E5E"/>
    <w:rsid w:val="009869E4"/>
    <w:rsid w:val="00A0791C"/>
    <w:rsid w:val="00A17F87"/>
    <w:rsid w:val="00A236C6"/>
    <w:rsid w:val="00A45210"/>
    <w:rsid w:val="00AB78A4"/>
    <w:rsid w:val="00AC0FC3"/>
    <w:rsid w:val="00AF386E"/>
    <w:rsid w:val="00B1573D"/>
    <w:rsid w:val="00B80B22"/>
    <w:rsid w:val="00BA107D"/>
    <w:rsid w:val="00BD0349"/>
    <w:rsid w:val="00BD5ED9"/>
    <w:rsid w:val="00BF20E4"/>
    <w:rsid w:val="00C10747"/>
    <w:rsid w:val="00C379D6"/>
    <w:rsid w:val="00CA0631"/>
    <w:rsid w:val="00CC0911"/>
    <w:rsid w:val="00D00AF4"/>
    <w:rsid w:val="00D0461E"/>
    <w:rsid w:val="00D86BBE"/>
    <w:rsid w:val="00DE5394"/>
    <w:rsid w:val="00E46568"/>
    <w:rsid w:val="00E91340"/>
    <w:rsid w:val="00F05659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DA8C4D-C367-41AC-A155-CEAE61E7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F0BF2-81F8-4844-9B75-DA584A317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1075</TotalTime>
  <Pages>3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10</cp:revision>
  <dcterms:created xsi:type="dcterms:W3CDTF">2019-07-17T07:29:00Z</dcterms:created>
  <dcterms:modified xsi:type="dcterms:W3CDTF">2019-08-28T08:06:00Z</dcterms:modified>
</cp:coreProperties>
</file>