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157"/>
        <w:gridCol w:w="4066"/>
        <w:gridCol w:w="1946"/>
        <w:gridCol w:w="216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9A55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9A55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A5539" w:rsidRPr="009A55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</w:t>
            </w:r>
            <w:r w:rsidR="006E00C9" w:rsidRPr="009A55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</w:t>
            </w:r>
            <w:r w:rsidR="009A5539" w:rsidRPr="009A55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−125</w:t>
            </w:r>
            <w:r w:rsidR="00186864" w:rsidRPr="009A55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93B6C" w:rsidRDefault="00137155" w:rsidP="00193B6C">
            <w:pPr>
              <w:contextualSpacing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  </w:t>
            </w:r>
            <w:proofErr w:type="spellStart"/>
            <w:r w:rsidR="00193B6C">
              <w:rPr>
                <w:rFonts w:ascii="Times New Roman" w:hAnsi="Times New Roman"/>
                <w:sz w:val="24"/>
                <w:szCs w:val="24"/>
              </w:rPr>
              <w:t>Душана</w:t>
            </w:r>
            <w:proofErr w:type="spellEnd"/>
            <w:r w:rsidR="00193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3B6C">
              <w:rPr>
                <w:rFonts w:ascii="Times New Roman" w:hAnsi="Times New Roman"/>
                <w:sz w:val="24"/>
                <w:szCs w:val="24"/>
              </w:rPr>
              <w:t>Ковачевић</w:t>
            </w:r>
            <w:proofErr w:type="spellEnd"/>
            <w:r w:rsidR="00193B6C">
              <w:rPr>
                <w:rFonts w:ascii="Times New Roman" w:hAnsi="Times New Roman"/>
                <w:sz w:val="24"/>
                <w:szCs w:val="24"/>
              </w:rPr>
              <w:t>,</w:t>
            </w:r>
            <w:r w:rsidR="00193B6C">
              <w:rPr>
                <w:rFonts w:ascii="Times New Roman" w:hAnsi="Times New Roman"/>
              </w:rPr>
              <w:t xml:space="preserve"> </w:t>
            </w:r>
            <w:proofErr w:type="spellStart"/>
            <w:r w:rsidR="00193B6C" w:rsidRPr="00193B6C">
              <w:rPr>
                <w:rFonts w:ascii="Times New Roman" w:hAnsi="Times New Roman"/>
                <w:i/>
                <w:sz w:val="24"/>
                <w:szCs w:val="24"/>
              </w:rPr>
              <w:t>Балкански</w:t>
            </w:r>
            <w:proofErr w:type="spellEnd"/>
            <w:r w:rsidR="00193B6C" w:rsidRPr="00193B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93B6C" w:rsidRPr="00193B6C">
              <w:rPr>
                <w:rFonts w:ascii="Times New Roman" w:hAnsi="Times New Roman"/>
                <w:i/>
                <w:sz w:val="24"/>
                <w:szCs w:val="24"/>
              </w:rPr>
              <w:t>шпијун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13715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 О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37155" w:rsidRDefault="00082AAE" w:rsidP="00193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>
              <w:rPr>
                <w:rFonts w:ascii="Times New Roman" w:hAnsi="Times New Roman"/>
              </w:rPr>
              <w:t xml:space="preserve"> </w:t>
            </w:r>
            <w:proofErr w:type="spellStart"/>
            <w:r w:rsidR="005042C9" w:rsidRPr="00137155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137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драме</w:t>
            </w:r>
            <w:proofErr w:type="spellEnd"/>
            <w:r w:rsidR="005042C9" w:rsidRPr="00137155">
              <w:rPr>
                <w:rFonts w:ascii="Times New Roman" w:hAnsi="Times New Roman"/>
                <w:sz w:val="24"/>
                <w:szCs w:val="24"/>
              </w:rPr>
              <w:t xml:space="preserve">  „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Балкански</w:t>
            </w:r>
            <w:proofErr w:type="spellEnd"/>
            <w:r w:rsidR="00193B6C" w:rsidRPr="00137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шпијун</w:t>
            </w:r>
            <w:proofErr w:type="spellEnd"/>
            <w:r w:rsidR="005042C9" w:rsidRPr="00137155">
              <w:rPr>
                <w:rFonts w:ascii="Times New Roman" w:hAnsi="Times New Roman"/>
                <w:sz w:val="24"/>
                <w:szCs w:val="24"/>
              </w:rPr>
              <w:t>”</w:t>
            </w:r>
            <w:r w:rsidR="00193B6C" w:rsidRPr="00137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Душана</w:t>
            </w:r>
            <w:proofErr w:type="spellEnd"/>
            <w:r w:rsidR="00193B6C" w:rsidRPr="00137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Ковачевића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0C46" w:rsidRPr="00193B6C" w:rsidRDefault="00193B6C" w:rsidP="005042C9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>стекне</w:t>
            </w:r>
            <w:proofErr w:type="spellEnd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>увид</w:t>
            </w:r>
            <w:proofErr w:type="spellEnd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>поетику</w:t>
            </w:r>
            <w:proofErr w:type="spellEnd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 xml:space="preserve"> Душана Ковачевића</w:t>
            </w:r>
            <w:r w:rsidR="00140C46" w:rsidRPr="00193B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42C9" w:rsidRPr="009C4D36" w:rsidRDefault="00193B6C" w:rsidP="00193B6C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>позна</w:t>
            </w:r>
            <w:proofErr w:type="spellEnd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>уметничким</w:t>
            </w:r>
            <w:proofErr w:type="spellEnd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4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9C4D36">
              <w:rPr>
                <w:rFonts w:ascii="Times New Roman" w:eastAsia="Calibri" w:hAnsi="Times New Roman" w:cs="Times New Roman"/>
                <w:sz w:val="24"/>
                <w:szCs w:val="24"/>
              </w:rPr>
              <w:t>универзалним</w:t>
            </w:r>
            <w:proofErr w:type="spellEnd"/>
            <w:r w:rsidR="009C4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>вредностима</w:t>
            </w:r>
            <w:proofErr w:type="spellEnd"/>
            <w:r w:rsidRPr="00193B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Балканског</w:t>
            </w:r>
            <w:proofErr w:type="spellEnd"/>
            <w:r w:rsidRPr="00193B6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шпијуна</w:t>
            </w:r>
            <w:proofErr w:type="spellEnd"/>
            <w:r w:rsidR="009C4D3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C4D36" w:rsidRPr="00140C46" w:rsidRDefault="009C4D36" w:rsidP="00193B6C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продуби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знања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</w:t>
            </w:r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ријским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политичким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приликама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Југославији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20.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време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Титовог</w:t>
            </w:r>
            <w:proofErr w:type="spellEnd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3B4C">
              <w:rPr>
                <w:rFonts w:ascii="Times New Roman" w:eastAsia="Calibri" w:hAnsi="Times New Roman" w:cs="Times New Roman"/>
                <w:sz w:val="24"/>
                <w:szCs w:val="24"/>
              </w:rPr>
              <w:t>режима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193B6C" w:rsidP="00193B6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Драма</w:t>
            </w:r>
            <w:r w:rsidR="00140C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Душана Ковачевића,</w:t>
            </w:r>
            <w:r>
              <w:rPr>
                <w:rFonts w:ascii="Times New Roman" w:hAnsi="Times New Roman"/>
              </w:rPr>
              <w:t xml:space="preserve"> </w:t>
            </w:r>
            <w:r w:rsidRPr="00193B6C">
              <w:rPr>
                <w:rFonts w:ascii="Times New Roman" w:hAnsi="Times New Roman"/>
                <w:i/>
                <w:sz w:val="24"/>
                <w:szCs w:val="24"/>
              </w:rPr>
              <w:t>Балкански шпијун</w:t>
            </w:r>
            <w:r w:rsidR="001E2034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</w:t>
            </w:r>
            <w:r w:rsidR="001E2034" w:rsidRPr="00C63F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B5B2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166F75" w:rsidRDefault="00137155" w:rsidP="00311B13">
            <w:pPr>
              <w:contextualSpacing/>
              <w:rPr>
                <w:rFonts w:ascii="Times New Roman" w:hAnsi="Times New Roman"/>
                <w:i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 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Душан</w:t>
            </w:r>
            <w:proofErr w:type="spellEnd"/>
            <w:r w:rsidR="00193B6C" w:rsidRPr="00137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3B6C" w:rsidRPr="00137155">
              <w:rPr>
                <w:rFonts w:ascii="Times New Roman" w:hAnsi="Times New Roman"/>
                <w:sz w:val="24"/>
                <w:szCs w:val="24"/>
              </w:rPr>
              <w:t>Ковачевић</w:t>
            </w:r>
            <w:proofErr w:type="spellEnd"/>
            <w:r w:rsidR="00193B6C" w:rsidRPr="00137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93B6C" w:rsidRPr="00137155">
              <w:rPr>
                <w:rFonts w:ascii="Times New Roman" w:hAnsi="Times New Roman"/>
                <w:i/>
                <w:sz w:val="24"/>
                <w:szCs w:val="24"/>
              </w:rPr>
              <w:t>Балкански</w:t>
            </w:r>
            <w:proofErr w:type="spellEnd"/>
            <w:r w:rsidR="00193B6C" w:rsidRPr="0013715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93B6C" w:rsidRPr="00137155">
              <w:rPr>
                <w:rFonts w:ascii="Times New Roman" w:hAnsi="Times New Roman"/>
                <w:i/>
                <w:sz w:val="24"/>
                <w:szCs w:val="24"/>
              </w:rPr>
              <w:t>шпијун</w:t>
            </w:r>
            <w:proofErr w:type="spellEnd"/>
            <w:r w:rsidR="00982CCC" w:rsidRPr="00137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82CCC" w:rsidRPr="00137155">
              <w:rPr>
                <w:rFonts w:ascii="Times New Roman" w:hAnsi="Times New Roman"/>
                <w:sz w:val="24"/>
                <w:szCs w:val="24"/>
              </w:rPr>
              <w:t>гротеска</w:t>
            </w:r>
            <w:proofErr w:type="spellEnd"/>
            <w:r w:rsidR="00982CCC" w:rsidRPr="00137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82CCC" w:rsidRPr="00137155">
              <w:rPr>
                <w:rFonts w:ascii="Times New Roman" w:hAnsi="Times New Roman"/>
                <w:sz w:val="24"/>
                <w:szCs w:val="24"/>
              </w:rPr>
              <w:t>трагикомедија</w:t>
            </w:r>
            <w:proofErr w:type="spellEnd"/>
            <w:r w:rsidR="00311B13" w:rsidRPr="0013715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11B13" w:rsidRPr="00137155">
              <w:rPr>
                <w:rFonts w:ascii="Times New Roman" w:hAnsi="Times New Roman"/>
                <w:sz w:val="24"/>
                <w:szCs w:val="24"/>
              </w:rPr>
              <w:t>идеологија</w:t>
            </w:r>
            <w:bookmarkStart w:id="0" w:name="_GoBack"/>
            <w:bookmarkEnd w:id="0"/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193B6C" w:rsidP="00193B6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Драма</w:t>
            </w:r>
            <w:r w:rsidR="001E2034" w:rsidRPr="00B03B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Душана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Ковачевић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193B6C">
              <w:rPr>
                <w:rFonts w:ascii="Times New Roman" w:hAnsi="Times New Roman"/>
                <w:i/>
                <w:sz w:val="24"/>
                <w:szCs w:val="24"/>
              </w:rPr>
              <w:t>Балкански</w:t>
            </w:r>
            <w:proofErr w:type="spellEnd"/>
            <w:r w:rsidRPr="00193B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3B6C">
              <w:rPr>
                <w:rFonts w:ascii="Times New Roman" w:hAnsi="Times New Roman"/>
                <w:i/>
                <w:sz w:val="24"/>
                <w:szCs w:val="24"/>
              </w:rPr>
              <w:t>шпијун</w:t>
            </w:r>
            <w:proofErr w:type="spellEnd"/>
            <w:r w:rsidR="001E2034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Pr="009250A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92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9250A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  <w:r w:rsidR="001371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. година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; Бранка Јакшић Провчи, „Могући приступ Балканском шпијуну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Душана Ковачевића, </w:t>
            </w:r>
            <w:r w:rsidRPr="00F413C7">
              <w:rPr>
                <w:rFonts w:ascii="Times New Roman" w:hAnsi="Times New Roman"/>
                <w:sz w:val="24"/>
                <w:szCs w:val="24"/>
                <w:lang w:val="sr-Cyrl-CS"/>
              </w:rPr>
              <w:t>Прилози језичком и књижевном образовању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(зборник 3), </w:t>
            </w:r>
            <w:r w:rsidR="00982CC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Друштво за српски језик и књижевност Србије,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2010, 99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108.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750499" w:rsidRDefault="00E233CE" w:rsidP="00750499">
            <w:pPr>
              <w:pStyle w:val="Pasussalistom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>ставник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Истичу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703A58" w:rsidRDefault="00E233CE" w:rsidP="00F93B4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3B4C">
              <w:rPr>
                <w:rFonts w:ascii="Times New Roman" w:hAnsi="Times New Roman" w:cs="Times New Roman"/>
                <w:sz w:val="24"/>
                <w:szCs w:val="24"/>
              </w:rPr>
              <w:t>ушана</w:t>
            </w:r>
            <w:proofErr w:type="spellEnd"/>
            <w:r w:rsidR="00F93B4C">
              <w:rPr>
                <w:rFonts w:ascii="Times New Roman" w:hAnsi="Times New Roman" w:cs="Times New Roman"/>
                <w:sz w:val="24"/>
                <w:szCs w:val="24"/>
              </w:rPr>
              <w:t xml:space="preserve"> Ковачевића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>ичко-м</w:t>
            </w:r>
            <w:r w:rsidR="00982CCC">
              <w:rPr>
                <w:rFonts w:ascii="Times New Roman" w:hAnsi="Times New Roman" w:cs="Times New Roman"/>
                <w:sz w:val="24"/>
                <w:szCs w:val="24"/>
              </w:rPr>
              <w:t>етодичку</w:t>
            </w:r>
            <w:proofErr w:type="spellEnd"/>
            <w:r w:rsidR="00982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2CCC">
              <w:rPr>
                <w:rFonts w:ascii="Times New Roman" w:hAnsi="Times New Roman" w:cs="Times New Roman"/>
                <w:sz w:val="24"/>
                <w:szCs w:val="24"/>
              </w:rPr>
              <w:t>апаратуру</w:t>
            </w:r>
            <w:proofErr w:type="spellEnd"/>
            <w:r w:rsidR="00982CC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982CCC">
              <w:rPr>
                <w:rFonts w:ascii="Times New Roman" w:hAnsi="Times New Roman" w:cs="Times New Roman"/>
                <w:sz w:val="24"/>
                <w:szCs w:val="24"/>
              </w:rPr>
              <w:t>Читанци</w:t>
            </w:r>
            <w:proofErr w:type="spellEnd"/>
            <w:r w:rsidR="00982CCC">
              <w:rPr>
                <w:rFonts w:ascii="Times New Roman" w:hAnsi="Times New Roman" w:cs="Times New Roman"/>
                <w:sz w:val="24"/>
                <w:szCs w:val="24"/>
              </w:rPr>
              <w:t xml:space="preserve"> 261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982CCC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703A58">
              <w:rPr>
                <w:rFonts w:ascii="Times New Roman" w:hAnsi="Times New Roman" w:cs="Times New Roman"/>
                <w:sz w:val="24"/>
                <w:szCs w:val="24"/>
              </w:rPr>
              <w:t xml:space="preserve">, као и одељак </w:t>
            </w:r>
            <w:r w:rsidR="00703A58" w:rsidRPr="00F413C7">
              <w:rPr>
                <w:rFonts w:ascii="Times New Roman" w:hAnsi="Times New Roman" w:cs="Times New Roman"/>
                <w:sz w:val="24"/>
                <w:szCs w:val="24"/>
              </w:rPr>
              <w:t>Занимљиво је</w:t>
            </w:r>
            <w:r w:rsidR="00703A58">
              <w:rPr>
                <w:rFonts w:ascii="Times New Roman" w:hAnsi="Times New Roman" w:cs="Times New Roman"/>
                <w:sz w:val="24"/>
                <w:szCs w:val="24"/>
              </w:rPr>
              <w:t xml:space="preserve"> на стр. 274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CC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ученике упознаје са књижевним појмом </w:t>
            </w:r>
            <w:r w:rsidR="00982CCC" w:rsidRPr="00982CCC">
              <w:rPr>
                <w:rFonts w:ascii="Times New Roman" w:hAnsi="Times New Roman" w:cs="Times New Roman"/>
                <w:i/>
                <w:sz w:val="24"/>
                <w:szCs w:val="24"/>
              </w:rPr>
              <w:t>трагикомедија</w:t>
            </w:r>
            <w:r w:rsidR="00703A58"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03A58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r w:rsidR="00703A58" w:rsidRPr="00703A58">
              <w:rPr>
                <w:rFonts w:ascii="Times New Roman" w:hAnsi="Times New Roman" w:cs="Times New Roman"/>
                <w:sz w:val="24"/>
                <w:szCs w:val="24"/>
              </w:rPr>
              <w:t>, стр. 273)</w:t>
            </w:r>
            <w:r w:rsidR="00982CCC" w:rsidRPr="00703A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2CCC">
              <w:rPr>
                <w:rFonts w:ascii="Times New Roman" w:hAnsi="Times New Roman" w:cs="Times New Roman"/>
                <w:sz w:val="24"/>
                <w:szCs w:val="24"/>
              </w:rPr>
              <w:t xml:space="preserve"> у шта се драма „Балкански шпијун” убраја.</w:t>
            </w:r>
            <w:r w:rsid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50499" w:rsidRPr="009C4D36" w:rsidRDefault="00703A58" w:rsidP="00703A58">
            <w:pPr>
              <w:pStyle w:val="Pasussalistom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Ученицима се назначава да ово савремено драмско дело руши жанровске одреднице. Дело се локализује, смешта у балкански</w:t>
            </w:r>
            <w:r w:rsidR="009D5CF7">
              <w:rPr>
                <w:rFonts w:ascii="Times New Roman" w:hAnsi="Times New Roman" w:cs="Times New Roman"/>
                <w:sz w:val="24"/>
                <w:szCs w:val="24"/>
              </w:rPr>
              <w:t>, историјски и политички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контекст, и установљава да је Илија Чворовић главни лик</w:t>
            </w:r>
            <w:r w:rsidR="00764163">
              <w:rPr>
                <w:rFonts w:ascii="Times New Roman" w:hAnsi="Times New Roman" w:cs="Times New Roman"/>
                <w:sz w:val="24"/>
                <w:szCs w:val="24"/>
              </w:rPr>
              <w:t xml:space="preserve">. Тумачи се симболика његовог презимена и доводи у везу са речју </w:t>
            </w:r>
            <w:r w:rsidR="00764163" w:rsidRPr="00764163">
              <w:rPr>
                <w:rFonts w:ascii="Times New Roman" w:hAnsi="Times New Roman" w:cs="Times New Roman"/>
                <w:i/>
                <w:sz w:val="24"/>
                <w:szCs w:val="24"/>
              </w:rPr>
              <w:t>чвор</w:t>
            </w:r>
            <w:r w:rsidR="00764163">
              <w:rPr>
                <w:rFonts w:ascii="Times New Roman" w:hAnsi="Times New Roman" w:cs="Times New Roman"/>
                <w:sz w:val="24"/>
                <w:szCs w:val="24"/>
              </w:rPr>
              <w:t>. Нижу се асоцијације ученика (затвореност, заплетеност, замршеност итд). На сличан начин тумаче се и им</w:t>
            </w:r>
            <w:r w:rsidR="009C4D36">
              <w:rPr>
                <w:rFonts w:ascii="Times New Roman" w:hAnsi="Times New Roman" w:cs="Times New Roman"/>
                <w:sz w:val="24"/>
                <w:szCs w:val="24"/>
              </w:rPr>
              <w:t>еновања осталих ликова у делу: П</w:t>
            </w:r>
            <w:r w:rsidR="00764163">
              <w:rPr>
                <w:rFonts w:ascii="Times New Roman" w:hAnsi="Times New Roman" w:cs="Times New Roman"/>
                <w:sz w:val="24"/>
                <w:szCs w:val="24"/>
              </w:rPr>
              <w:t xml:space="preserve">одстанар – сугерисање животне неизвесности; </w:t>
            </w:r>
            <w:r w:rsidR="00764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Дражић – онај који дражи, раздражује.</w:t>
            </w:r>
          </w:p>
          <w:p w:rsidR="009C4D36" w:rsidRPr="00B637E2" w:rsidRDefault="009C4D36" w:rsidP="00703A58">
            <w:pPr>
              <w:pStyle w:val="Pasussalistom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се анализира према подстицајним задацима из Читанке, на стр. 273.</w:t>
            </w:r>
          </w:p>
          <w:p w:rsidR="00B637E2" w:rsidRPr="00B637E2" w:rsidRDefault="00B637E2" w:rsidP="00B637E2">
            <w:pPr>
              <w:pStyle w:val="Pasussalistom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Издваја се основна драмска ситуација −  прогањање без очитог разлога.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Чворовић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илуструје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идеју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прогонилац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прогонитељ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715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Добровољно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подстанара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повратника из иностранства, који има циљ да уложи капитал у „малу привреду”, што га у Илијиним очима чини народним непријатељем. Илијин страх реакција је на прошлост и боравак на Голом отоку. Пренаглашена лојалност његова је последица. </w:t>
            </w:r>
            <w:r w:rsidR="009D5CF7">
              <w:rPr>
                <w:rFonts w:ascii="Times New Roman" w:hAnsi="Times New Roman" w:cs="Times New Roman"/>
                <w:sz w:val="24"/>
                <w:szCs w:val="24"/>
              </w:rPr>
              <w:t xml:space="preserve">Сам крај, где Илија Чворовић умирући преноси своје делање на брата близанца, може се тумачити идејом да зло не умире, већ само мења облик. О идеолошком аспекту драме прочитати део из </w:t>
            </w:r>
            <w:r w:rsidR="009D5CF7" w:rsidRPr="009D5CF7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r w:rsidR="009D5CF7">
              <w:rPr>
                <w:rFonts w:ascii="Times New Roman" w:hAnsi="Times New Roman" w:cs="Times New Roman"/>
                <w:sz w:val="24"/>
                <w:szCs w:val="24"/>
              </w:rPr>
              <w:t xml:space="preserve"> „Важно је да знамо”, на стр. </w:t>
            </w:r>
            <w:r w:rsidR="009C4D36">
              <w:rPr>
                <w:rFonts w:ascii="Times New Roman" w:hAnsi="Times New Roman" w:cs="Times New Roman"/>
                <w:sz w:val="24"/>
                <w:szCs w:val="24"/>
              </w:rPr>
              <w:t>274−275.</w:t>
            </w:r>
          </w:p>
          <w:p w:rsidR="00764163" w:rsidRPr="00764163" w:rsidRDefault="00764163" w:rsidP="00764163">
            <w:pPr>
              <w:pStyle w:val="Pasussalistom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Тумачи се функција визуелних и звучних знакова – црвено светло – стање усијања; радио − осликавање друштвене стварности; оперске арије које слуша Даница – небивање у садашњости.</w:t>
            </w:r>
            <w:r w:rsidR="009D5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703A58" w:rsidRDefault="00703A58" w:rsidP="00137155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разјашњава евентуалне недоумице и са ученицима резимира научено.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упућују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погледају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филм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CB3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="004E0CB3" w:rsidRPr="004E0CB3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а</w:t>
            </w:r>
            <w:proofErr w:type="spellStart"/>
            <w:r w:rsidRPr="004E0CB3">
              <w:rPr>
                <w:rFonts w:ascii="Times New Roman" w:hAnsi="Times New Roman" w:cs="Times New Roman"/>
                <w:i/>
                <w:sz w:val="24"/>
                <w:szCs w:val="24"/>
              </w:rPr>
              <w:t>лкански</w:t>
            </w:r>
            <w:proofErr w:type="spellEnd"/>
            <w:r w:rsidRPr="004E0C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E0CB3">
              <w:rPr>
                <w:rFonts w:ascii="Times New Roman" w:hAnsi="Times New Roman" w:cs="Times New Roman"/>
                <w:i/>
                <w:sz w:val="24"/>
                <w:szCs w:val="24"/>
              </w:rPr>
              <w:t>шпијун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доступан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Јутјубу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адреси</w:t>
            </w:r>
            <w:proofErr w:type="spellEnd"/>
            <w:r w:rsidR="00137155">
              <w:rPr>
                <w:rFonts w:ascii="Times New Roman" w:hAnsi="Times New Roman" w:cs="Times New Roman"/>
                <w:sz w:val="24"/>
                <w:szCs w:val="24"/>
                <w:lang/>
              </w:rPr>
              <w:t>:</w:t>
            </w:r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A58">
              <w:t xml:space="preserve"> </w:t>
            </w:r>
            <w:hyperlink r:id="rId6" w:history="1">
              <w:r w:rsidRPr="00703A58">
                <w:rPr>
                  <w:rStyle w:val="Hipervez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https://www.youtube.com/watch?v=3oIkUE8U5Wc&amp;ab_channel=ElChapo</w:t>
              </w:r>
            </w:hyperlink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као и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емисију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РТС-а </w:t>
            </w:r>
            <w:proofErr w:type="spellStart"/>
            <w:r w:rsidRPr="00703A58">
              <w:rPr>
                <w:rFonts w:ascii="Times New Roman" w:hAnsi="Times New Roman" w:cs="Times New Roman"/>
                <w:i/>
                <w:sz w:val="24"/>
                <w:szCs w:val="24"/>
              </w:rPr>
              <w:t>Метаморфозе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Душану</w:t>
            </w:r>
            <w:proofErr w:type="spellEnd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A58">
              <w:rPr>
                <w:rFonts w:ascii="Times New Roman" w:hAnsi="Times New Roman" w:cs="Times New Roman"/>
                <w:sz w:val="24"/>
                <w:szCs w:val="24"/>
              </w:rPr>
              <w:t>Ковачевићу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доступну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Јутјубу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адреси</w:t>
            </w:r>
            <w:proofErr w:type="spellEnd"/>
            <w:r w:rsidR="00137155">
              <w:rPr>
                <w:rFonts w:ascii="Times New Roman" w:hAnsi="Times New Roman" w:cs="Times New Roman"/>
                <w:sz w:val="24"/>
                <w:szCs w:val="24"/>
                <w:lang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7" w:history="1">
              <w:r w:rsidR="009D5CF7" w:rsidRPr="009D5CF7">
                <w:rPr>
                  <w:rStyle w:val="Hipervez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https://www.youtube.com/watch?v=PWv5xZk6ZSg&amp;ab_channel=RTSKulturno-umetni%C4%8Dkiprogram-Zvani%C4%8Dnikanal</w:t>
              </w:r>
            </w:hyperlink>
            <w:r w:rsidRPr="009D5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5CF7">
              <w:rPr>
                <w:rFonts w:ascii="Times New Roman" w:hAnsi="Times New Roman" w:cs="Times New Roman"/>
                <w:sz w:val="24"/>
                <w:szCs w:val="24"/>
              </w:rPr>
              <w:t xml:space="preserve"> Ученици,  подељени по групама, драматизују сцену по избору.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750499" w:rsidRDefault="00620445" w:rsidP="009C4D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•</w:t>
            </w:r>
            <w:r w:rsidR="00DE2892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5602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5602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 w:rsidR="005A00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="00137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драматизација</w:t>
            </w: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F413C7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F413C7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D312E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E769D"/>
    <w:multiLevelType w:val="hybridMultilevel"/>
    <w:tmpl w:val="A49A3E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C4B0C"/>
    <w:multiLevelType w:val="hybridMultilevel"/>
    <w:tmpl w:val="58540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0"/>
  </w:num>
  <w:num w:numId="5">
    <w:abstractNumId w:val="5"/>
  </w:num>
  <w:num w:numId="6">
    <w:abstractNumId w:val="15"/>
  </w:num>
  <w:num w:numId="7">
    <w:abstractNumId w:val="4"/>
  </w:num>
  <w:num w:numId="8">
    <w:abstractNumId w:val="12"/>
  </w:num>
  <w:num w:numId="9">
    <w:abstractNumId w:val="1"/>
  </w:num>
  <w:num w:numId="10">
    <w:abstractNumId w:val="8"/>
  </w:num>
  <w:num w:numId="11">
    <w:abstractNumId w:val="7"/>
  </w:num>
  <w:num w:numId="12">
    <w:abstractNumId w:val="14"/>
  </w:num>
  <w:num w:numId="13">
    <w:abstractNumId w:val="3"/>
  </w:num>
  <w:num w:numId="14">
    <w:abstractNumId w:val="6"/>
  </w:num>
  <w:num w:numId="15">
    <w:abstractNumId w:val="16"/>
  </w:num>
  <w:num w:numId="16">
    <w:abstractNumId w:val="2"/>
  </w:num>
  <w:num w:numId="17">
    <w:abstractNumId w:val="11"/>
  </w:num>
  <w:num w:numId="18">
    <w:abstractNumId w:val="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5AA8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37155"/>
    <w:rsid w:val="00140C46"/>
    <w:rsid w:val="00166F75"/>
    <w:rsid w:val="00171CA2"/>
    <w:rsid w:val="001732B4"/>
    <w:rsid w:val="00175801"/>
    <w:rsid w:val="00183429"/>
    <w:rsid w:val="00184EFA"/>
    <w:rsid w:val="00186864"/>
    <w:rsid w:val="00193B6C"/>
    <w:rsid w:val="00195B67"/>
    <w:rsid w:val="00195E41"/>
    <w:rsid w:val="00196440"/>
    <w:rsid w:val="001A28A2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11B13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33496"/>
    <w:rsid w:val="00450393"/>
    <w:rsid w:val="004507F6"/>
    <w:rsid w:val="004521E3"/>
    <w:rsid w:val="00460D94"/>
    <w:rsid w:val="00460F5D"/>
    <w:rsid w:val="00462AD2"/>
    <w:rsid w:val="004732CB"/>
    <w:rsid w:val="00473472"/>
    <w:rsid w:val="00487319"/>
    <w:rsid w:val="004A4007"/>
    <w:rsid w:val="004C7460"/>
    <w:rsid w:val="004E0CB3"/>
    <w:rsid w:val="004E19C4"/>
    <w:rsid w:val="004E6DE8"/>
    <w:rsid w:val="005042C9"/>
    <w:rsid w:val="0054728F"/>
    <w:rsid w:val="00547EAE"/>
    <w:rsid w:val="005510C1"/>
    <w:rsid w:val="005602DB"/>
    <w:rsid w:val="00563730"/>
    <w:rsid w:val="00573300"/>
    <w:rsid w:val="0057493B"/>
    <w:rsid w:val="00584A0E"/>
    <w:rsid w:val="00584C4E"/>
    <w:rsid w:val="005A00B0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03A5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64163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04BCA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2CCC"/>
    <w:rsid w:val="00987EA6"/>
    <w:rsid w:val="00996129"/>
    <w:rsid w:val="009A5539"/>
    <w:rsid w:val="009A6DC0"/>
    <w:rsid w:val="009A7EB7"/>
    <w:rsid w:val="009B3343"/>
    <w:rsid w:val="009C24D9"/>
    <w:rsid w:val="009C4D36"/>
    <w:rsid w:val="009C51B1"/>
    <w:rsid w:val="009D4E3A"/>
    <w:rsid w:val="009D5CF7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37E2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26449"/>
    <w:rsid w:val="00C44648"/>
    <w:rsid w:val="00C61AE8"/>
    <w:rsid w:val="00C61DF2"/>
    <w:rsid w:val="00C666CD"/>
    <w:rsid w:val="00C71DD5"/>
    <w:rsid w:val="00C73793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D71C9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A4B2D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413C7"/>
    <w:rsid w:val="00F627D7"/>
    <w:rsid w:val="00F747B8"/>
    <w:rsid w:val="00F82B8A"/>
    <w:rsid w:val="00F93B4C"/>
    <w:rsid w:val="00FA3129"/>
    <w:rsid w:val="00FB1653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B66BB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703A5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PWv5xZk6ZSg&amp;ab_channel=RTSKulturno-umetni%C4%8Dkiprogram-Zvani%C4%8Dnikanal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3oIkUE8U5Wc&amp;ab_channel=ElChapo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6C37C-571C-4621-8B62-E913EDF9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Kostić</cp:lastModifiedBy>
  <cp:revision>13</cp:revision>
  <dcterms:created xsi:type="dcterms:W3CDTF">2024-06-02T18:43:00Z</dcterms:created>
  <dcterms:modified xsi:type="dcterms:W3CDTF">2024-08-09T08:59:00Z</dcterms:modified>
</cp:coreProperties>
</file>