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6448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6448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4480F" w:rsidRPr="006448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59</w:t>
            </w:r>
            <w:r w:rsidR="00186864" w:rsidRPr="006448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0E1AB9" w:rsidRDefault="000E1AB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Специјалне независне реченице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E1AB9" w:rsidP="00323E2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>раније стечених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стицање нових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специјалним независним реченицама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215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215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1E221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84388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специјалним независним реченицама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460F5D" w:rsidRDefault="00460F5D" w:rsidP="00460F5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885">
              <w:rPr>
                <w:rFonts w:ascii="Times New Roman" w:hAnsi="Times New Roman"/>
                <w:sz w:val="24"/>
                <w:szCs w:val="24"/>
                <w:lang w:val="sr-Cyrl-CS"/>
              </w:rPr>
              <w:t>специјалних независних реченица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0F5D" w:rsidRPr="00460F5D" w:rsidRDefault="00460F5D" w:rsidP="00843885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88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специјалне независне реченице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тексту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7485E" w:rsidRDefault="00832D1E" w:rsidP="003C6C5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0E1A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A42AA" w:rsidP="007869D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7869DF">
              <w:rPr>
                <w:rFonts w:ascii="Times New Roman" w:hAnsi="Times New Roman"/>
                <w:sz w:val="24"/>
                <w:szCs w:val="24"/>
                <w:lang w:val="sr-Cyrl-CS"/>
              </w:rPr>
              <w:t>пецијална независна реченица</w:t>
            </w:r>
            <w:r w:rsidR="0084388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84388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7869D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комуника</w:t>
            </w:r>
            <w:r w:rsidR="00323E2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тивна функција, лексичко језгро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323E2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1E2215" w:rsidRDefault="00843885" w:rsidP="001D2EC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наглашава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1E2215" w:rsidRPr="001E2215">
              <w:rPr>
                <w:rFonts w:ascii="Times New Roman" w:hAnsi="Times New Roman"/>
                <w:sz w:val="24"/>
                <w:szCs w:val="24"/>
              </w:rPr>
              <w:t xml:space="preserve">. Подсећа их на то да су на претходним часовима истицали да је нужно да предикатска реченица има предикат. </w:t>
            </w:r>
            <w:proofErr w:type="spellStart"/>
            <w:r w:rsidR="001E2215" w:rsidRPr="001E2215">
              <w:rPr>
                <w:rFonts w:ascii="Times New Roman" w:hAnsi="Times New Roman"/>
                <w:sz w:val="24"/>
                <w:szCs w:val="24"/>
              </w:rPr>
              <w:t>Ипак</w:t>
            </w:r>
            <w:proofErr w:type="spellEnd"/>
            <w:r w:rsidR="001E2215" w:rsidRPr="001E22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E2215" w:rsidRPr="001E2215">
              <w:rPr>
                <w:rFonts w:ascii="Times New Roman" w:hAnsi="Times New Roman"/>
                <w:sz w:val="24"/>
                <w:szCs w:val="24"/>
              </w:rPr>
              <w:t>сусрешће</w:t>
            </w:r>
            <w:proofErr w:type="spellEnd"/>
            <w:r w:rsidR="001E2215"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215" w:rsidRPr="001E2215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1E2215"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215" w:rsidRPr="001E2215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1E2215"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комуникативним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реченицама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spellEnd"/>
            <w:r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2215">
              <w:rPr>
                <w:rFonts w:ascii="Times New Roman" w:hAnsi="Times New Roman"/>
                <w:sz w:val="24"/>
                <w:szCs w:val="24"/>
              </w:rPr>
              <w:t>предиката</w:t>
            </w:r>
            <w:proofErr w:type="spellEnd"/>
            <w:r w:rsidR="001E2215" w:rsidRPr="001E2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215" w:rsidRPr="001E22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C6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215" w:rsidRPr="001E2215">
              <w:rPr>
                <w:rFonts w:ascii="Times New Roman" w:hAnsi="Times New Roman"/>
                <w:sz w:val="24"/>
                <w:szCs w:val="24"/>
              </w:rPr>
              <w:t>специјалним независним реченицама</w:t>
            </w:r>
            <w:r w:rsidRPr="001E22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1E2215" w:rsidRPr="00AA42AA" w:rsidRDefault="001E2215" w:rsidP="000E1C8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</w:rPr>
              <w:t xml:space="preserve">Наставник записује </w:t>
            </w:r>
            <w:proofErr w:type="spellStart"/>
            <w:r w:rsidRPr="00AA42A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4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2AA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AA4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2AA">
              <w:rPr>
                <w:rFonts w:ascii="Times New Roman" w:hAnsi="Times New Roman"/>
                <w:sz w:val="24"/>
                <w:szCs w:val="24"/>
              </w:rPr>
              <w:t>пар</w:t>
            </w:r>
            <w:proofErr w:type="spellEnd"/>
            <w:r w:rsidRPr="00AA4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42AA" w:rsidRPr="00AA42AA">
              <w:rPr>
                <w:rFonts w:ascii="Times New Roman" w:hAnsi="Times New Roman"/>
                <w:sz w:val="24"/>
                <w:szCs w:val="24"/>
              </w:rPr>
              <w:t>примера</w:t>
            </w:r>
            <w:proofErr w:type="spellEnd"/>
            <w:r w:rsidR="00AA42AA" w:rsidRPr="00AA42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1E2215" w:rsidRPr="00AA42AA" w:rsidRDefault="001E2215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Ауто!</w:t>
            </w:r>
            <w:r w:rsidR="00BC10DA"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C10DA" w:rsidRPr="00AA42AA" w:rsidRDefault="00BC10DA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Не пушити!</w:t>
            </w:r>
          </w:p>
          <w:p w:rsidR="001E2215" w:rsidRPr="00AA42AA" w:rsidRDefault="001E2215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Лопов!</w:t>
            </w:r>
          </w:p>
          <w:p w:rsidR="00042FA9" w:rsidRPr="00AA42AA" w:rsidRDefault="00042FA9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Лопове!</w:t>
            </w:r>
          </w:p>
          <w:p w:rsidR="00042FA9" w:rsidRPr="00AA42AA" w:rsidRDefault="00042FA9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Напоље!</w:t>
            </w:r>
          </w:p>
          <w:p w:rsidR="001E2215" w:rsidRPr="00AA42AA" w:rsidRDefault="001E2215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Ено таксија!</w:t>
            </w:r>
          </w:p>
          <w:p w:rsidR="00042FA9" w:rsidRPr="00AA42AA" w:rsidRDefault="00042FA9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Лепе ли девојке!</w:t>
            </w:r>
          </w:p>
          <w:p w:rsidR="00BC10DA" w:rsidRPr="00AA42AA" w:rsidRDefault="00042FA9" w:rsidP="000E1C84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2AA">
              <w:rPr>
                <w:rFonts w:ascii="Times New Roman" w:hAnsi="Times New Roman"/>
                <w:sz w:val="24"/>
                <w:szCs w:val="24"/>
                <w:lang w:val="sr-Cyrl-CS"/>
              </w:rPr>
              <w:t>(Идемо ли напоље?) Не. / Да.</w:t>
            </w:r>
          </w:p>
          <w:p w:rsidR="00BC10DA" w:rsidRPr="003C6C53" w:rsidRDefault="00BC10DA" w:rsidP="000E1C84">
            <w:pPr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Закључује се да, премда ове реченице немају предикат, својим садржајем преносе поруку прилагођену комуникативној ситуацији. Ученици анализирају какве комуникативне ситуације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, односно комуникативне функције</w:t>
            </w: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је</w:t>
            </w: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 у питању, и долазе до закључка да су </w:t>
            </w: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то: упозорење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(1, 3)</w:t>
            </w: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, заповест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(5)</w:t>
            </w: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, забрана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(2), показно обавештење (6), узвични коментар</w:t>
            </w:r>
            <w:r w:rsidR="003C6C53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/квалификација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 w:rsidR="003C6C53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4, 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7), потврдан/одричан одговор (8) и сл</w:t>
            </w: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3C6C53" w:rsidRDefault="00042FA9" w:rsidP="000E1C84">
            <w:pPr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Анализира се лексичко језгро ових реченица, будући да оно није лични глаголски облик</w:t>
            </w:r>
            <w:r w:rsidR="003C6C53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3C6C53" w:rsidRDefault="000E1C84" w:rsidP="000E1C84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C6C53">
              <w:rPr>
                <w:rFonts w:ascii="Times New Roman" w:hAnsi="Times New Roman"/>
                <w:sz w:val="24"/>
                <w:szCs w:val="24"/>
                <w:lang w:val="sr-Cyrl-CS"/>
              </w:rPr>
              <w:t>именица (1, 3, 4)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3C6C53" w:rsidRDefault="000E1C84" w:rsidP="000E1C84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C6C53">
              <w:rPr>
                <w:rFonts w:ascii="Times New Roman" w:hAnsi="Times New Roman"/>
                <w:sz w:val="24"/>
                <w:szCs w:val="24"/>
                <w:lang w:val="sr-Cyrl-CS"/>
              </w:rPr>
              <w:t>придев (7)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3C6C53" w:rsidRDefault="000E1C84" w:rsidP="000E1C84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C6C53">
              <w:rPr>
                <w:rFonts w:ascii="Times New Roman" w:hAnsi="Times New Roman"/>
                <w:sz w:val="24"/>
                <w:szCs w:val="24"/>
                <w:lang w:val="sr-Cyrl-CS"/>
              </w:rPr>
              <w:t>прилог (5)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3C6C53" w:rsidRDefault="000E1C84" w:rsidP="000E1C84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C6C53">
              <w:rPr>
                <w:rFonts w:ascii="Times New Roman" w:hAnsi="Times New Roman"/>
                <w:sz w:val="24"/>
                <w:szCs w:val="24"/>
                <w:lang w:val="sr-Cyrl-CS"/>
              </w:rPr>
              <w:t>речца (6, 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3C6C53" w:rsidRPr="003C6C53" w:rsidRDefault="000E1C84" w:rsidP="000E1C84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C6C53">
              <w:rPr>
                <w:rFonts w:ascii="Times New Roman" w:hAnsi="Times New Roman"/>
                <w:sz w:val="24"/>
                <w:szCs w:val="24"/>
                <w:lang w:val="sr-Cyrl-CS"/>
              </w:rPr>
              <w:t>нелични глаголски облик (2).</w:t>
            </w:r>
          </w:p>
          <w:p w:rsidR="002938AA" w:rsidRPr="003C6C53" w:rsidRDefault="003C6C53" w:rsidP="000E1C84">
            <w:pPr>
              <w:spacing w:line="240" w:lineRule="auto"/>
              <w:ind w:left="360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Тумаче се </w:t>
            </w:r>
            <w:r w:rsidR="00042FA9" w:rsidRPr="003C6C53"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интерпункција и интонација.</w:t>
            </w:r>
            <w:r w:rsidR="00042FA9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FF0126" w:rsidRDefault="00D40057" w:rsidP="000E1C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F01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 w:rsidRPr="00FF01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Pr="00FF01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A42AA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AA42A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3BA0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6647C"/>
    <w:multiLevelType w:val="hybridMultilevel"/>
    <w:tmpl w:val="7A74439A"/>
    <w:lvl w:ilvl="0" w:tplc="E382831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18B0FA4"/>
    <w:multiLevelType w:val="hybridMultilevel"/>
    <w:tmpl w:val="27CE675E"/>
    <w:lvl w:ilvl="0" w:tplc="FB3CD6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7"/>
  </w:num>
  <w:num w:numId="3">
    <w:abstractNumId w:val="20"/>
  </w:num>
  <w:num w:numId="4">
    <w:abstractNumId w:val="2"/>
  </w:num>
  <w:num w:numId="5">
    <w:abstractNumId w:val="46"/>
  </w:num>
  <w:num w:numId="6">
    <w:abstractNumId w:val="19"/>
  </w:num>
  <w:num w:numId="7">
    <w:abstractNumId w:val="17"/>
  </w:num>
  <w:num w:numId="8">
    <w:abstractNumId w:val="4"/>
  </w:num>
  <w:num w:numId="9">
    <w:abstractNumId w:val="36"/>
  </w:num>
  <w:num w:numId="10">
    <w:abstractNumId w:val="34"/>
  </w:num>
  <w:num w:numId="11">
    <w:abstractNumId w:val="32"/>
  </w:num>
  <w:num w:numId="12">
    <w:abstractNumId w:val="11"/>
  </w:num>
  <w:num w:numId="13">
    <w:abstractNumId w:val="26"/>
  </w:num>
  <w:num w:numId="14">
    <w:abstractNumId w:val="8"/>
  </w:num>
  <w:num w:numId="15">
    <w:abstractNumId w:val="40"/>
  </w:num>
  <w:num w:numId="16">
    <w:abstractNumId w:val="3"/>
  </w:num>
  <w:num w:numId="17">
    <w:abstractNumId w:val="23"/>
  </w:num>
  <w:num w:numId="18">
    <w:abstractNumId w:val="37"/>
  </w:num>
  <w:num w:numId="19">
    <w:abstractNumId w:val="22"/>
  </w:num>
  <w:num w:numId="20">
    <w:abstractNumId w:val="27"/>
  </w:num>
  <w:num w:numId="21">
    <w:abstractNumId w:val="0"/>
  </w:num>
  <w:num w:numId="22">
    <w:abstractNumId w:val="42"/>
  </w:num>
  <w:num w:numId="23">
    <w:abstractNumId w:val="28"/>
  </w:num>
  <w:num w:numId="24">
    <w:abstractNumId w:val="9"/>
  </w:num>
  <w:num w:numId="25">
    <w:abstractNumId w:val="35"/>
  </w:num>
  <w:num w:numId="26">
    <w:abstractNumId w:val="5"/>
  </w:num>
  <w:num w:numId="27">
    <w:abstractNumId w:val="48"/>
  </w:num>
  <w:num w:numId="28">
    <w:abstractNumId w:val="25"/>
  </w:num>
  <w:num w:numId="29">
    <w:abstractNumId w:val="14"/>
  </w:num>
  <w:num w:numId="30">
    <w:abstractNumId w:val="41"/>
  </w:num>
  <w:num w:numId="31">
    <w:abstractNumId w:val="30"/>
  </w:num>
  <w:num w:numId="32">
    <w:abstractNumId w:val="12"/>
  </w:num>
  <w:num w:numId="33">
    <w:abstractNumId w:val="49"/>
  </w:num>
  <w:num w:numId="34">
    <w:abstractNumId w:val="29"/>
  </w:num>
  <w:num w:numId="35">
    <w:abstractNumId w:val="45"/>
  </w:num>
  <w:num w:numId="36">
    <w:abstractNumId w:val="10"/>
  </w:num>
  <w:num w:numId="37">
    <w:abstractNumId w:val="6"/>
  </w:num>
  <w:num w:numId="38">
    <w:abstractNumId w:val="7"/>
  </w:num>
  <w:num w:numId="39">
    <w:abstractNumId w:val="44"/>
  </w:num>
  <w:num w:numId="40">
    <w:abstractNumId w:val="18"/>
  </w:num>
  <w:num w:numId="41">
    <w:abstractNumId w:val="38"/>
  </w:num>
  <w:num w:numId="42">
    <w:abstractNumId w:val="1"/>
  </w:num>
  <w:num w:numId="43">
    <w:abstractNumId w:val="43"/>
  </w:num>
  <w:num w:numId="44">
    <w:abstractNumId w:val="31"/>
  </w:num>
  <w:num w:numId="45">
    <w:abstractNumId w:val="21"/>
  </w:num>
  <w:num w:numId="46">
    <w:abstractNumId w:val="13"/>
  </w:num>
  <w:num w:numId="47">
    <w:abstractNumId w:val="16"/>
  </w:num>
  <w:num w:numId="48">
    <w:abstractNumId w:val="39"/>
  </w:num>
  <w:num w:numId="49">
    <w:abstractNumId w:val="15"/>
  </w:num>
  <w:num w:numId="50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42FA9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1AB9"/>
    <w:rsid w:val="000E1C84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2ECB"/>
    <w:rsid w:val="001D5501"/>
    <w:rsid w:val="001E06D1"/>
    <w:rsid w:val="001E0E1D"/>
    <w:rsid w:val="001E2215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38AA"/>
    <w:rsid w:val="00296035"/>
    <w:rsid w:val="002976F9"/>
    <w:rsid w:val="002A0D85"/>
    <w:rsid w:val="002C51F5"/>
    <w:rsid w:val="002D7B4F"/>
    <w:rsid w:val="002E4BEC"/>
    <w:rsid w:val="002F393E"/>
    <w:rsid w:val="00323DF4"/>
    <w:rsid w:val="00323E27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6C53"/>
    <w:rsid w:val="00407FF3"/>
    <w:rsid w:val="00416EB1"/>
    <w:rsid w:val="004206F0"/>
    <w:rsid w:val="00420F0D"/>
    <w:rsid w:val="0042179E"/>
    <w:rsid w:val="00421C5A"/>
    <w:rsid w:val="004507F6"/>
    <w:rsid w:val="004521E3"/>
    <w:rsid w:val="00454526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EAE"/>
    <w:rsid w:val="005510C1"/>
    <w:rsid w:val="00573300"/>
    <w:rsid w:val="0057493B"/>
    <w:rsid w:val="00584A0E"/>
    <w:rsid w:val="00584C4E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4480F"/>
    <w:rsid w:val="006520D8"/>
    <w:rsid w:val="00652170"/>
    <w:rsid w:val="006605DF"/>
    <w:rsid w:val="00662144"/>
    <w:rsid w:val="00672015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5907"/>
    <w:rsid w:val="0073655F"/>
    <w:rsid w:val="0074602D"/>
    <w:rsid w:val="007511E6"/>
    <w:rsid w:val="00757717"/>
    <w:rsid w:val="00773CCF"/>
    <w:rsid w:val="0077485E"/>
    <w:rsid w:val="00785309"/>
    <w:rsid w:val="007869DF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172C9"/>
    <w:rsid w:val="00832D1E"/>
    <w:rsid w:val="00832DD8"/>
    <w:rsid w:val="00843885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A098B"/>
    <w:rsid w:val="00AA42AA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C10DA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230F4"/>
    <w:rsid w:val="00D370F2"/>
    <w:rsid w:val="00D40057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72FC4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0485"/>
    <w:rsid w:val="00FA3129"/>
    <w:rsid w:val="00FC557D"/>
    <w:rsid w:val="00FF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9FE62-D667-4605-BD16-ED4DA727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2024-05-16T09:42:00Z</dcterms:created>
  <dcterms:modified xsi:type="dcterms:W3CDTF">2024-08-08T12:33:00Z</dcterms:modified>
</cp:coreProperties>
</file>