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5"/>
        <w:gridCol w:w="3941"/>
        <w:gridCol w:w="1745"/>
        <w:gridCol w:w="2125"/>
      </w:tblGrid>
      <w:tr w:rsidR="00701174" w:rsidRPr="00701174" w:rsidTr="002979F4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6146CF" w:rsidRDefault="00701174" w:rsidP="002979F4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6146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6146C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и 13.</w:t>
            </w:r>
          </w:p>
        </w:tc>
      </w:tr>
      <w:tr w:rsidR="0070117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01174" w:rsidRPr="00701174" w:rsidRDefault="0070117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01174" w:rsidRPr="006146CF" w:rsidRDefault="006146CF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1174" w:rsidRPr="006146CF" w:rsidRDefault="00701174" w:rsidP="00441449">
            <w:pPr>
              <w:spacing w:after="0" w:line="240" w:lineRule="auto"/>
              <w:ind w:left="113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="006146CF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701174" w:rsidRPr="00701174" w:rsidRDefault="00701174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70117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6146CF" w:rsidP="00441449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166EC4">
              <w:rPr>
                <w:rFonts w:ascii="Times New Roman" w:hAnsi="Times New Roman"/>
                <w:sz w:val="24"/>
                <w:szCs w:val="24"/>
                <w:lang/>
              </w:rPr>
              <w:t>Књижевност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/Модерна у европској и српској књижевности</w:t>
            </w:r>
          </w:p>
        </w:tc>
      </w:tr>
      <w:tr w:rsidR="006146CF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6146CF" w:rsidRDefault="006146CF" w:rsidP="00441449">
            <w:pPr>
              <w:spacing w:after="0" w:line="240" w:lineRule="auto"/>
              <w:ind w:left="113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146C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Антон Павлович Чехов, </w:t>
            </w:r>
            <w:r w:rsidRPr="006146CF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Ујка Вања</w:t>
            </w:r>
          </w:p>
        </w:tc>
      </w:tr>
      <w:tr w:rsidR="006146CF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166EC4" w:rsidRDefault="006146CF" w:rsidP="00441449">
            <w:pPr>
              <w:spacing w:after="0" w:line="240" w:lineRule="auto"/>
              <w:ind w:left="113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166EC4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6146CF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166EC4" w:rsidRDefault="006146CF" w:rsidP="00441449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/>
              </w:rPr>
            </w:pPr>
            <w:r w:rsidRPr="006146CF">
              <w:rPr>
                <w:rFonts w:ascii="Times New Roman" w:hAnsi="Times New Roman"/>
                <w:sz w:val="24"/>
                <w:szCs w:val="24"/>
                <w:lang/>
              </w:rPr>
              <w:t>Упознавање ученика са стваралаштв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ом </w:t>
            </w:r>
            <w:r w:rsidRPr="006146CF">
              <w:rPr>
                <w:rFonts w:ascii="Times New Roman" w:hAnsi="Times New Roman"/>
                <w:sz w:val="24"/>
                <w:szCs w:val="24"/>
                <w:lang/>
              </w:rPr>
              <w:t>А. П. Чехова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6146CF">
              <w:rPr>
                <w:rFonts w:ascii="Times New Roman" w:hAnsi="Times New Roman"/>
                <w:sz w:val="24"/>
                <w:szCs w:val="24"/>
                <w:lang/>
              </w:rPr>
              <w:t xml:space="preserve">кроз анализу драме </w:t>
            </w:r>
            <w:r w:rsidRPr="006146CF">
              <w:rPr>
                <w:rFonts w:ascii="Times New Roman" w:hAnsi="Times New Roman"/>
                <w:i/>
                <w:sz w:val="24"/>
                <w:szCs w:val="24"/>
                <w:lang/>
              </w:rPr>
              <w:t>Ујка Вања</w:t>
            </w:r>
          </w:p>
        </w:tc>
      </w:tr>
      <w:tr w:rsidR="006146CF" w:rsidRPr="00701174" w:rsidTr="002979F4">
        <w:trPr>
          <w:trHeight w:val="1430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6146CF" w:rsidRDefault="006146CF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proofErr w:type="spellStart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Ученик</w:t>
            </w:r>
            <w:proofErr w:type="spellEnd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ће</w:t>
            </w:r>
            <w:proofErr w:type="spellEnd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бити</w:t>
            </w:r>
            <w:proofErr w:type="spellEnd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стању</w:t>
            </w:r>
            <w:proofErr w:type="spellEnd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да</w:t>
            </w:r>
            <w:proofErr w:type="spellEnd"/>
            <w:r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:</w:t>
            </w:r>
          </w:p>
          <w:p w:rsid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препозна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6146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карактеристике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Чеховљевог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2979F4" w:rsidRP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уочи одлике импресионистичке драме;</w:t>
            </w:r>
          </w:p>
          <w:p w:rsidR="006146CF" w:rsidRP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уочи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битне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теме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односе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делу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6146CF" w:rsidRP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уочи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тематику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пропадања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код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Чехова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6146CF" w:rsidRP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препозна и образложи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разлоге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про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адања</w:t>
            </w:r>
            <w:proofErr w:type="spellEnd"/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јунака</w:t>
            </w:r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;</w:t>
            </w:r>
          </w:p>
          <w:p w:rsidR="006146CF" w:rsidRPr="002979F4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уочи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свевременост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актуелност</w:t>
            </w:r>
            <w:proofErr w:type="spellEnd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6146CF" w:rsidRPr="006146CF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теме</w:t>
            </w:r>
            <w:proofErr w:type="spellEnd"/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2979F4" w:rsidRPr="006146CF" w:rsidRDefault="00441449" w:rsidP="00441449">
            <w:pPr>
              <w:numPr>
                <w:ilvl w:val="0"/>
                <w:numId w:val="1"/>
              </w:num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979F4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тумачи драмски текст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.</w:t>
            </w:r>
          </w:p>
          <w:p w:rsidR="006146CF" w:rsidRPr="00701174" w:rsidRDefault="006146CF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146CF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2979F4" w:rsidRDefault="002979F4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6146CF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701174" w:rsidRDefault="006146CF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146CF" w:rsidRPr="002979F4" w:rsidRDefault="002979F4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187F67" w:rsidRDefault="002979F4" w:rsidP="00441449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995D0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EA3FF1" w:rsidRDefault="002979F4" w:rsidP="00441449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EA3FF1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="00EA3FF1" w:rsidRPr="00EA3FF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EA3FF1" w:rsidRPr="00EA3FF1"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</w:t>
            </w: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187F67" w:rsidRDefault="002979F4" w:rsidP="00441449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Музичк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>а култура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Ликовна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култура</w:t>
            </w:r>
            <w:proofErr w:type="spellEnd"/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9451CA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9451CA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/>
              </w:rPr>
              <w:t>Ујка Вања</w:t>
            </w:r>
            <w:r w:rsidRPr="009451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импресионистичка драма,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драма атмосфере, </w:t>
            </w:r>
            <w:r w:rsidRPr="009451C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простор, време</w:t>
            </w:r>
          </w:p>
        </w:tc>
      </w:tr>
      <w:tr w:rsidR="002979F4" w:rsidRPr="00701174" w:rsidTr="002979F4">
        <w:trPr>
          <w:trHeight w:val="391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shd w:val="clear" w:color="auto" w:fill="FFFFFF"/>
            <w:vAlign w:val="center"/>
          </w:tcPr>
          <w:p w:rsidR="002979F4" w:rsidRDefault="00441449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9451CA" w:rsidRPr="009451C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="009451CA" w:rsidRPr="009451CA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9451CA" w:rsidRPr="009451CA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  <w:p w:rsidR="002C412B" w:rsidRPr="00E24285" w:rsidRDefault="00441449" w:rsidP="00441449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i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C412B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Ђорђевић Часлав, Лучић Предраг, </w:t>
            </w:r>
            <w:r w:rsidR="002C412B" w:rsidRPr="00E24285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Књижевност и српски језик 3, </w:t>
            </w:r>
            <w:r w:rsidR="00E24285" w:rsidRPr="00E24285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приручник за ученике гимназије и средњих стручних школа,</w:t>
            </w:r>
            <w:r w:rsidR="00E2428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E24285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Д. Ђорђевић и Венцловић, </w:t>
            </w:r>
            <w:r w:rsidR="00E24285" w:rsidRPr="00E24285">
              <w:rPr>
                <w:rFonts w:ascii="Times New Roman" w:eastAsia="Times New Roman" w:hAnsi="Times New Roman" w:cs="Times New Roman"/>
                <w:bCs/>
                <w:lang w:val="ru-RU"/>
              </w:rPr>
              <w:t>Нови Сад, 2004.</w:t>
            </w:r>
          </w:p>
        </w:tc>
      </w:tr>
      <w:tr w:rsidR="002979F4" w:rsidRPr="00701174" w:rsidTr="002979F4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</w:tcPr>
          <w:p w:rsidR="002B0734" w:rsidRDefault="002B0734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2979F4" w:rsidRDefault="009451CA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Упознавање са животом и стваралаштвом Антона Павловича Чехова.</w:t>
            </w:r>
          </w:p>
          <w:p w:rsidR="009451CA" w:rsidRPr="00E07B20" w:rsidRDefault="009451CA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Навођење одлика импресионистичке драме.</w:t>
            </w:r>
            <w:r w:rsidR="00E07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E07B2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E07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42. стр.)</w:t>
            </w:r>
          </w:p>
          <w:p w:rsidR="00795AF0" w:rsidRDefault="00795AF0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795AF0" w:rsidRPr="00795AF0" w:rsidRDefault="00795AF0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795A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Антон Павлович Чехов (1860–1904) родио се у провинцијском руском</w:t>
            </w:r>
          </w:p>
          <w:p w:rsidR="00795AF0" w:rsidRPr="00795AF0" w:rsidRDefault="00795AF0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795A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граду Таганрогу у породици трговца који је банкротирао. Породица се потом одселила у Москву, у којој је Чехов завршио медицински факултет. Прве приче објавио је како би могао да издржава породицу. Разболео се од туберкулозе 1886, али није престајао да ствара. Умро је током лечења у Баденвајлеру, у Немачкој.</w:t>
            </w:r>
          </w:p>
          <w:p w:rsidR="009451CA" w:rsidRDefault="00795AF0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795A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Писао је новеле, приповетке и драме којима је извршио, а и данас врши снажан утицај на европско позориште.</w:t>
            </w:r>
          </w:p>
          <w:p w:rsidR="00BC0E8B" w:rsidRPr="00BC0E8B" w:rsidRDefault="00BC0E8B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Дочарао је живот руских интелектуалаца из провинције који 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езну за лепотом и срећом, а са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ладавају их испразност и бесми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ао стварности. Он је уместо чврсте композиције у драму увео ла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баво повезан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е сцене, лирске монологе, лајтмотиве; није тежио 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дњи и заплету, већ стварању ат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осфере у драми. За његове драме </w:t>
            </w:r>
            <w:r w:rsidRPr="00BC0E8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карактеристично је да имају чети-</w:t>
            </w:r>
          </w:p>
          <w:p w:rsidR="00BC0E8B" w:rsidRDefault="00BC0E8B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ри чина.</w:t>
            </w:r>
          </w:p>
          <w:p w:rsidR="00E315F1" w:rsidRDefault="00E315F1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E315F1" w:rsidRPr="00E07B20" w:rsidRDefault="00E315F1" w:rsidP="00441449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Одлике импресионистичке драме: тежиште је на атмосфери, не на спољашњим ефектима радње; радња је фрагментарна; тежиште није на дешавањима, већ на друштвеној средини; јунаци су углавном интелектуалци, осетљиви на окружење; дешавања су на унутрашњем плану; радња нема разрешења, јер нема праве радње.</w:t>
            </w:r>
            <w:r w:rsidR="00E07B2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2979F4" w:rsidRPr="003051A7" w:rsidRDefault="002979F4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051A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 Ученици вођени наставником тумаче драмски текст.</w:t>
            </w:r>
          </w:p>
          <w:p w:rsidR="003051A7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Ујка Вања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је импресионистичка драма. Има четири чина, што је карактеристично за Чеховљеву драму.</w:t>
            </w:r>
          </w:p>
          <w:p w:rsidR="003051A7" w:rsidRPr="003051A7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3051A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У Ујка Вањи драмска радња се догађа на руском селу, на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имању пензиониса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ног професора Серебрјакова. Иван Војницки или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ујка Вања је брат покојне про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фесорове жене. Он је живот посветио раду на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поменутом имању. На имању живе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и Марија, ујка Вањина мајка и Соња, професорова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ћерка, која такође предано ра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ди. Соња је заљубљена у пожртвованог сеоског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лекара Астрова, поклоника шуме</w:t>
            </w:r>
            <w:r w:rsidR="003051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3051A7"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и природе. Вања и Астров су заљубљени у лепу Јелену Андрејевну, професорову</w:t>
            </w:r>
          </w:p>
          <w:p w:rsidR="003051A7" w:rsidRDefault="003051A7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другу супругу. </w:t>
            </w:r>
          </w:p>
          <w:p w:rsidR="002979F4" w:rsidRPr="003051A7" w:rsidRDefault="003051A7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  </w:t>
            </w:r>
            <w:r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Професорова идеја да прода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имање узрокује да веома сложени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3051A7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односи међу јунацима прерасту у сукобе чији су узроци много дубљи и старији.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Читанка,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31)</w:t>
            </w:r>
          </w:p>
          <w:p w:rsidR="001B2B10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  Ученици наводе ликове у драми: 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Серебрјаков, Александар Владимирович, професор универзитета у</w:t>
            </w:r>
          </w:p>
          <w:p w:rsidR="001B2B10" w:rsidRPr="00530418" w:rsidRDefault="003051A7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ензији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Јелена Андрејевна, његова жена; 27 година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Софија Александровна (Соња), његова кћи из првог брака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Војницка, Марија Васиљевна, удовица тајног саветника, мати прве</w:t>
            </w:r>
          </w:p>
          <w:p w:rsidR="001B2B10" w:rsidRPr="00530418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професорове жене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Војницки, Иван Петрович, њен син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Астров, Михаило Љвович, лекар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Телегин, Иља Иљич, пропали спахија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Марина, стара дадиља</w:t>
            </w:r>
          </w:p>
          <w:p w:rsidR="001B2B10" w:rsidRPr="00530418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B2B10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Један радник</w:t>
            </w:r>
          </w:p>
          <w:p w:rsidR="001B2B10" w:rsidRPr="00530418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  Радња се догађа на имању Серебрјакова.</w:t>
            </w:r>
          </w:p>
          <w:p w:rsidR="001B2B10" w:rsidRPr="00530418" w:rsidRDefault="001B2B10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  Време у драми обухвата месеце август и септембар.</w:t>
            </w:r>
            <w:r w:rsidR="00874DA1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У ствари, сценско време драме, без пауза, траје веома кратко: први чин почиње у три сата поподне, а други у пола један после поноћи. Трећи у један сат поподне, а четврти тог дана увече. Тако све траје два дана и две </w:t>
            </w:r>
            <w:r w:rsidR="00B570EA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ноћи.</w:t>
            </w: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  <w:r w:rsidR="00445706"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Сценско време својом краткоћом сугерира утисак о динамичном развоју радње.</w:t>
            </w:r>
          </w:p>
          <w:p w:rsidR="007E525E" w:rsidRPr="00530418" w:rsidRDefault="007E525E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  Традиционална драма је сматрала  квалитетом – богатство радње. Чеховљеве драме се одликују, према оцени критике, сиромаштвом радње. Чехов је богатство збивања заменио богатством доживљавања, емоција, расположења, и то преношење тежишта на интимни човеков свет чини драму лирском и у складу је са основним принципом: „Драма је у човеку, а не у спољним манифестацијама”.</w:t>
            </w:r>
          </w:p>
          <w:p w:rsidR="005F3229" w:rsidRPr="001B2B10" w:rsidRDefault="005F3229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530418" w:rsidRDefault="00441449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Шта нам говори прва</w:t>
            </w:r>
            <w:r w:rsidR="00E07B20" w:rsidRP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реплик</w:t>
            </w:r>
            <w:r w:rsid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 дадиље Марине</w:t>
            </w:r>
            <w:r w:rsidR="00E07B20" w:rsidRP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</w:t>
            </w:r>
            <w:r w:rsidR="00E07B20" w:rsidRPr="00E07B2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Ујка Вањи</w:t>
            </w:r>
            <w:r w:rsid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,,Пи</w:t>
            </w:r>
            <w:r w:rsidR="005304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ј, баћушка”, и Астровљев одгово</w:t>
            </w:r>
            <w:r w:rsidR="0053041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р</w:t>
            </w:r>
            <w:r w:rsid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„Нешто </w:t>
            </w:r>
            <w:r w:rsidR="00E07B20" w:rsidRP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 се не пије”</w:t>
            </w:r>
            <w:r w:rsid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  <w:r w:rsidR="00E07B20" w:rsidRPr="00E07B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5666DD" w:rsidRPr="00530418" w:rsidRDefault="00530418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="005666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Првом репликом ништа не почиње, али нас драмско казивање уводи у свакодневност, у атмосфе</w:t>
            </w:r>
            <w:r w:rsidR="00E1253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ру и односе међу људима који ни</w:t>
            </w:r>
            <w:r w:rsidR="005666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једног тренутка, од заплета до расплета, неће бити динамични.</w:t>
            </w:r>
          </w:p>
          <w:p w:rsidR="005666DD" w:rsidRDefault="00441449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5666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Шта из Марининог и Астровљевог разговора сазнајемо о Астрову, његовом стању и расположењу? </w:t>
            </w:r>
            <w:r w:rsidR="003434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Шта је једино што он воли?</w:t>
            </w:r>
          </w:p>
          <w:p w:rsidR="00530418" w:rsidRPr="00530418" w:rsidRDefault="00530418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О Астрову сазнајемо да је у тај крај дошао као лекар пре дес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ет година. Превише је радио и п</w:t>
            </w: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остао је незадовољан животом,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више </w:t>
            </w:r>
            <w:r w:rsidRPr="0053041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ништа не жели, никога не воли. Критички гледа на руског човека и његову заосталост. Једино воли природу, шуме, и лепоту. </w:t>
            </w:r>
          </w:p>
          <w:p w:rsidR="00343471" w:rsidRDefault="00343471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</w:pPr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Шта нам казује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разговор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Марије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Васиљевне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Војницког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првом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чину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прва</w:t>
            </w:r>
            <w:proofErr w:type="spellEnd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сцена</w:t>
            </w:r>
            <w:proofErr w:type="spellEnd"/>
            <w:r w:rsidR="0084675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)</w:t>
            </w:r>
            <w:r w:rsidR="0084675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 Како она описује сина Војницког и које промене уочава у њему</w:t>
            </w:r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?</w:t>
            </w:r>
            <w:r w:rsidRPr="00343471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</w:p>
          <w:p w:rsidR="00530418" w:rsidRPr="00EC6BC6" w:rsidRDefault="00530418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</w:t>
            </w:r>
            <w:r w:rsidR="00EC6BC6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Ујка Вања је некада учио и радио, а сада само спава, једе, пије, потонуо је у нерад и чамотињу, осећа се старо иако има само 47 година.</w:t>
            </w:r>
          </w:p>
          <w:p w:rsidR="00846751" w:rsidRDefault="00441449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84675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Шта сазнајемо о Серебрјакову и Јелени и њиховом расположењу?</w:t>
            </w:r>
          </w:p>
          <w:p w:rsidR="00EC6BC6" w:rsidRPr="00EC6BC6" w:rsidRDefault="00EC6BC6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 </w:t>
            </w:r>
            <w:r w:rsidRPr="00EC6BC6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Серабјаков је професор у пензији. Писао је о уметности, мада је много не познаје. Оженио се младом и лепом Јеленом. Она чами поред њега, утрнулих чула и жеља.</w:t>
            </w:r>
          </w:p>
          <w:p w:rsidR="0033597E" w:rsidRDefault="00441449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 w:rsidR="0084675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Какви су међусобни односи јунака у драми?</w:t>
            </w:r>
          </w:p>
          <w:p w:rsidR="0033597E" w:rsidRDefault="0033597E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Међу јунацима владају стални неспоразуми који се испољавају дијалошки. Суштину тих односа најбоље ће исказати Јелена Андрејевна у реплици на почетку другог чина:</w:t>
            </w:r>
          </w:p>
          <w:p w:rsidR="0033597E" w:rsidRDefault="0033597E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Нешто није у реду у овој 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кући. Ваша мати мрзи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све осим својих брошура и про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фесора; професор је 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ервозан, мени не верује, вас се 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боји; Соња се љути 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а оца, љути на мене и не говори 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са мном већ две недеље; ви мрзите мог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мужа и отво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рено презирете своју мајку, ја сам нервозна и данас</w:t>
            </w:r>
            <w:r>
              <w:t xml:space="preserve"> 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сам двадесет пута п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очињала да плачем. Нешто није у </w:t>
            </w:r>
            <w:r w:rsidRPr="0033597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реду у овој кући.</w:t>
            </w:r>
          </w:p>
          <w:p w:rsidR="00846751" w:rsidRDefault="00441449" w:rsidP="004414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E1253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ли се остварују</w:t>
            </w:r>
            <w:r w:rsidR="008A0B80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речи дадиље Марине изречене у четвртом чину: „Опет ћемо живети по старом“?</w:t>
            </w:r>
          </w:p>
          <w:p w:rsidR="008A0B80" w:rsidRPr="008A0B80" w:rsidRDefault="00BE5475" w:rsidP="00441449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Повратак на старо је само привидан. На психолошком плану – старо се никада не може вратити. Ликови су се још више отуђили, а и сами су се изменили.</w:t>
            </w:r>
          </w:p>
          <w:p w:rsidR="002979F4" w:rsidRPr="00701174" w:rsidRDefault="002979F4" w:rsidP="00441449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2979F4" w:rsidRDefault="0014108C" w:rsidP="00441449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дели ученике у групе и свакој групи </w:t>
            </w:r>
            <w:r w:rsidR="00BE54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даје истражи</w:t>
            </w:r>
            <w:r w:rsidR="001425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вачке задатке за анализу ликова којом ће се бавити наредног часа.</w:t>
            </w:r>
          </w:p>
          <w:p w:rsidR="00BE5475" w:rsidRDefault="00BE5475" w:rsidP="00441449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E5475" w:rsidRPr="00701174" w:rsidRDefault="00BE5475" w:rsidP="00441449">
            <w:pPr>
              <w:spacing w:after="0" w:line="240" w:lineRule="auto"/>
              <w:ind w:left="57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Препоручује им да </w:t>
            </w:r>
            <w:r>
              <w:t xml:space="preserve"> </w:t>
            </w:r>
            <w:r w:rsidRPr="00E1253F">
              <w:rPr>
                <w:rFonts w:ascii="Times New Roman" w:hAnsi="Times New Roman" w:cs="Times New Roman"/>
                <w:lang/>
              </w:rPr>
              <w:t>код куће</w:t>
            </w:r>
            <w:r>
              <w:rPr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погледају</w:t>
            </w:r>
            <w:r w:rsidRPr="00BE54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позоришну или екранизовану изведбу неке Чеховљеве драме.</w:t>
            </w:r>
            <w:bookmarkStart w:id="0" w:name="_GoBack"/>
            <w:bookmarkEnd w:id="0"/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2979F4" w:rsidRPr="00701174" w:rsidRDefault="002979F4" w:rsidP="00E125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979F4" w:rsidRPr="00701174" w:rsidTr="002979F4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979F4" w:rsidRPr="00701174" w:rsidRDefault="002979F4" w:rsidP="00297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2979F4" w:rsidRPr="00701174" w:rsidRDefault="002979F4" w:rsidP="002979F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планираних активности </w:t>
            </w:r>
          </w:p>
          <w:p w:rsidR="002979F4" w:rsidRPr="00701174" w:rsidRDefault="002979F4" w:rsidP="002979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shd w:val="clear" w:color="auto" w:fill="auto"/>
          </w:tcPr>
          <w:p w:rsidR="002979F4" w:rsidRPr="00701174" w:rsidRDefault="002979F4" w:rsidP="002979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B66F5"/>
    <w:multiLevelType w:val="hybridMultilevel"/>
    <w:tmpl w:val="B1E075B6"/>
    <w:lvl w:ilvl="0" w:tplc="0A883F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123089"/>
    <w:multiLevelType w:val="hybridMultilevel"/>
    <w:tmpl w:val="6226B5B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14108C"/>
    <w:rsid w:val="001425CE"/>
    <w:rsid w:val="001B2B10"/>
    <w:rsid w:val="00244864"/>
    <w:rsid w:val="002979F4"/>
    <w:rsid w:val="002B0734"/>
    <w:rsid w:val="002C412B"/>
    <w:rsid w:val="003051A7"/>
    <w:rsid w:val="00334913"/>
    <w:rsid w:val="0033597E"/>
    <w:rsid w:val="00343471"/>
    <w:rsid w:val="00441449"/>
    <w:rsid w:val="00445706"/>
    <w:rsid w:val="00530418"/>
    <w:rsid w:val="005666DD"/>
    <w:rsid w:val="005F3229"/>
    <w:rsid w:val="006146CF"/>
    <w:rsid w:val="00644366"/>
    <w:rsid w:val="0067496A"/>
    <w:rsid w:val="00701174"/>
    <w:rsid w:val="00795AF0"/>
    <w:rsid w:val="007E525E"/>
    <w:rsid w:val="00846751"/>
    <w:rsid w:val="00874DA1"/>
    <w:rsid w:val="008A0B80"/>
    <w:rsid w:val="009241C0"/>
    <w:rsid w:val="009451CA"/>
    <w:rsid w:val="00A6228B"/>
    <w:rsid w:val="00B570EA"/>
    <w:rsid w:val="00BC0E8B"/>
    <w:rsid w:val="00BE5475"/>
    <w:rsid w:val="00C20148"/>
    <w:rsid w:val="00C85090"/>
    <w:rsid w:val="00C87B3E"/>
    <w:rsid w:val="00E07B20"/>
    <w:rsid w:val="00E1253F"/>
    <w:rsid w:val="00E24285"/>
    <w:rsid w:val="00E315F1"/>
    <w:rsid w:val="00E77D2C"/>
    <w:rsid w:val="00EA3FF1"/>
    <w:rsid w:val="00EC6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28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1B2B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Gordana Ilić</cp:lastModifiedBy>
  <cp:revision>10</cp:revision>
  <dcterms:created xsi:type="dcterms:W3CDTF">2022-08-15T18:28:00Z</dcterms:created>
  <dcterms:modified xsi:type="dcterms:W3CDTF">2022-09-02T07:35:00Z</dcterms:modified>
</cp:coreProperties>
</file>