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5"/>
        <w:gridCol w:w="3809"/>
        <w:gridCol w:w="1693"/>
        <w:gridCol w:w="2049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0943FD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="000943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77</w:t>
            </w:r>
            <w:r w:rsidR="00AA0F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. </w:t>
            </w:r>
            <w:r w:rsidR="00AA0F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и </w:t>
            </w:r>
            <w:r w:rsidR="000943F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78</w:t>
            </w:r>
            <w:r w:rsidR="00AA0F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943FD">
            <w:pPr>
              <w:spacing w:after="0" w:line="240" w:lineRule="auto"/>
              <w:ind w:left="144"/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И. Секулић,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Круг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0943FD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И. Секулић, кроз анализу њене приче </w:t>
            </w:r>
            <w:r w:rsidR="000943FD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Круг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23030" w:rsidRPr="00223030" w:rsidRDefault="00223030" w:rsidP="00223030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самостално анализира књижевно дело уз помоћ истраживачких задатака;</w:t>
            </w:r>
          </w:p>
          <w:p w:rsidR="00223030" w:rsidRPr="00223030" w:rsidRDefault="00223030" w:rsidP="00223030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позицију Исидоре Секулић у модерној српској књижевности и њену улогу у друштву;</w:t>
            </w:r>
          </w:p>
          <w:p w:rsidR="00223030" w:rsidRPr="00223030" w:rsidRDefault="00223030" w:rsidP="00223030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локализује збирку </w:t>
            </w:r>
            <w:r w:rsidRPr="000356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Сапутници</w:t>
            </w: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причу </w:t>
            </w:r>
            <w:r w:rsidRPr="000356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Круг</w:t>
            </w: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23030" w:rsidRPr="00223030" w:rsidRDefault="00223030" w:rsidP="00223030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 и анализи</w:t>
            </w:r>
            <w:r w:rsidR="000356D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 тематско-мотивску структуру  приче</w:t>
            </w: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356D3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Круг</w:t>
            </w:r>
            <w:r w:rsidRPr="0022303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223030" w:rsidRPr="00223030" w:rsidRDefault="000356D3" w:rsidP="00223030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и анализира симбол круга</w:t>
            </w:r>
            <w:r w:rsidR="00D86B9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D426A6" w:rsidRPr="00A6702A" w:rsidRDefault="00D426A6" w:rsidP="000356D3">
            <w:pPr>
              <w:pStyle w:val="Pasussalistom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Социологија,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Грађанско васпитање,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Верска настава, </w:t>
            </w:r>
            <w:r w:rsidR="001772DF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Ликовна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култура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Музичка култура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943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Исидора Секулић</w:t>
            </w:r>
            <w:r w:rsidR="00FE77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,</w:t>
            </w:r>
            <w:r w:rsidR="00FE77D8" w:rsidRPr="00FE77D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  <w:lang/>
              </w:rPr>
              <w:t xml:space="preserve"> Круг</w:t>
            </w:r>
            <w:r w:rsidR="00FE77D8" w:rsidRPr="00FE77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FE77D8" w:rsidRPr="00FE77D8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kern w:val="24"/>
                <w:sz w:val="24"/>
                <w:szCs w:val="24"/>
                <w:lang/>
              </w:rPr>
              <w:t>Сапутници</w:t>
            </w:r>
            <w:r w:rsidR="00FE77D8" w:rsidRPr="00FE77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круг, лопта,</w:t>
            </w:r>
            <w:r w:rsidR="00FE77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интелектуални стил</w:t>
            </w:r>
            <w:r w:rsidR="00FE77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</w:t>
            </w:r>
            <w:r w:rsidR="00FE77D8" w:rsidRPr="00FE77D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FE77D8" w:rsidRPr="00FE77D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модерна књижевност, лирско-медитативна проза, приповедање, психологизација, симбол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9646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880B51" w:rsidRPr="00880B51" w:rsidRDefault="00880B51" w:rsidP="00A051AC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B408D1" w:rsidRPr="00B408D1" w:rsidRDefault="00B408D1" w:rsidP="000943FD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9646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FE77D8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Исидора Секулић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(1877–1958)</w:t>
            </w:r>
            <w: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је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р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ођена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Мошо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рину, у Бачкој, одрастала je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у Руми и Земуну, школовала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се у Српској препарандији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(учитељска школа) у Сомбо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ру, студирала је математику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 природне науке у Пешти.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Определила се за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рад у просвети (Панчево, Шабац, Београд). Докторирала је из филозофије у Немачкој. Путовала је у Норвешку, Немачк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у, Француску, Енглеску и др.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Била је дописница Српске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краљевске академије, чланица главног одбора Анти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фашистичког фронта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>жена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 једaн од оснивача Удру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жења наставница средњих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стручних школа. Након Другог светског рата била је пр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ви председник Удружења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књижевника. За редовног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члана Српске академије наука изабрана је 1950. годи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не као прва жена академик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Србији.</w:t>
            </w:r>
            <w: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Одличан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стилист, зналац многих језика, преводилац, нарочи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то са енглеског, путописац...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У прози је танани опсерватор људских живота и судби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на, есејистика јој се одликује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префињеним духом. Поред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књижевности била је зналац и других уметности, на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уке, филозофије.</w:t>
            </w:r>
          </w:p>
          <w:p w:rsidR="00000000" w:rsidRDefault="00FE77D8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Дела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: </w:t>
            </w:r>
            <w:r w:rsidRPr="00FE77D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Сапутници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(збирка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импресионистичких црти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ца,1913), </w:t>
            </w:r>
            <w:r w:rsidRPr="00FE77D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Писма из Норвешке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(путописни есеји, 1914), </w:t>
            </w:r>
            <w:r w:rsidRPr="00FE77D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Из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прошлости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(збирка припо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ведака, 1919),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Ђакон Богоро</w:t>
            </w:r>
            <w:r w:rsidRPr="00FE77D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дичине цркве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(роман,1920),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Кроника паланачког гробља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FE77D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1–2 (збирка приповедака,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1940–1958), </w:t>
            </w:r>
            <w:r w:rsidR="00CC56F7"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Запис о мом на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роду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(збирка приповедака,</w:t>
            </w:r>
            <w:r w:rsid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1948); критички и есејисти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чки радови –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Аналитички</w:t>
            </w:r>
            <w:r w:rsidR="00CC56F7"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тренуци и теме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1–3 (1940),</w:t>
            </w:r>
            <w:r w:rsid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Његошу књига дубоке одано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сти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(монографија 1951), </w:t>
            </w:r>
            <w:r w:rsid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Го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вор и језик културна смотра</w:t>
            </w:r>
            <w:r w:rsid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народа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(1956),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Мир и немир</w:t>
            </w:r>
            <w:r w:rsid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(1957).</w:t>
            </w:r>
          </w:p>
          <w:p w:rsidR="00000000" w:rsidRDefault="00796460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CC56F7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Преплитање жанрова једна је од изразитих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особина стваралаштва Исидоре Се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кулић. Тако се њена збирка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Сапутници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ж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анровски одређујe као лирско-ме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дитативна проза. У њој традиционална форма приповетке уступа место модерној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прози која се бавила комплекснијим пробле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мима друштва, описивањем унутра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шњих сукоба, самопосматрања, и тиме означава почетак новог израза и модерног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осећања света. Њени огледи о самоћи, сиромаштву, круговима, чежњи, носталгији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 „осталим сапутницима” прожети су нарацијом.</w:t>
            </w:r>
          </w:p>
          <w:p w:rsidR="00000000" w:rsidRDefault="00CC56F7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Збирку прича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Сапутници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упознали сте у осно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вној школи, када сте читали при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чу </w:t>
            </w:r>
            <w:r w:rsidRPr="00CC56F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Буре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 Присетите се те приче и њене симболике.</w:t>
            </w:r>
          </w:p>
          <w:p w:rsidR="00000000" w:rsidRDefault="00CC56F7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Наведите асоцијације које у вама буди круг. </w:t>
            </w:r>
          </w:p>
          <w:p w:rsidR="00000000" w:rsidRDefault="00CC56F7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Питања и задаци за тумачење текста: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Изнесите утиске о прочитаној причи. Процен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ите и аргументујте шта је то но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во, модерно у Исидорином тексту.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Упоредите почетак приче с остатком текста. Шта сте запазили?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Испитајте симболику круга у контексту ове приче.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Тумачите дефиницију круга која је експлици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тно дата у причи. 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Истражите симболику света у кругу и света ван њега.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Издвојте мотиве у причи.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Анализирајте изглед, психичка стања и осећања људи који се налазе у лопти.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Тумачите симболику простора ван лопте. Шта је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све препознато као круг у при</w:t>
            </w: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чи Исидоре Секулић.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До каквог сазнања о слободи долази субјект? Какав</w:t>
            </w:r>
            <w:r w:rsidR="006A60F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закључак о животу износи </w:t>
            </w:r>
            <w:r w:rsidRPr="006A60F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субјект када каже да је развој бића о којем је професор говорио само тромо и</w:t>
            </w:r>
            <w:r w:rsidR="006A60F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6A60F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тупо враћање и понављање.</w:t>
            </w:r>
          </w:p>
          <w:p w:rsidR="00000000" w:rsidRDefault="00CC56F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C56F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Одредите тон којим се прича завршава. Шта се дешава с бунтом у старости?</w:t>
            </w:r>
          </w:p>
          <w:p w:rsidR="00000000" w:rsidRDefault="00223030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• Коментаришите стил којим пише Исидора Сек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улић. Јован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Скерлић је рекао да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Исидора Секулић пише интелектуалним стилом. У којој мери се слажете с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њим? Аргументујте своје одговоре. </w:t>
            </w:r>
          </w:p>
          <w:p w:rsidR="00000000" w:rsidRDefault="00223030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Јован Деретић каже да </w:t>
            </w:r>
            <w:r w:rsidRPr="00223030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Сапутници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јесу конципирани субјективно, али да ту има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мање непосредности и осећања, а више</w:t>
            </w:r>
            <w:r w:rsidR="008B12B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интелектуалне</w:t>
            </w:r>
            <w:r w:rsidR="0079646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интроспекције,</w:t>
            </w:r>
            <w:r w:rsidR="0079646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афористичких уопштавања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223030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 есејистичких црта.</w:t>
            </w:r>
          </w:p>
          <w:p w:rsidR="00000000" w:rsidRDefault="006D18F5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Важно је истаћи мотиве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: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шестар и таблу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(прича почиње сећањем на детињство, тачније на један школски час, на учионицу и професора који узима шестар и црта круг на табли);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круг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(који ће навести приповедача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на размишљање о животу, човеку и свету у којем тај човек живи);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смрт и неминовност смрти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(који је присутан 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у причи </w:t>
            </w:r>
            <w:r w:rsidRPr="006D18F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Круг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 збирци </w:t>
            </w:r>
            <w:r w:rsidRPr="006D18F5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Сапутници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);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болест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(која ће довести до привиђења и халуцинације једне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лопте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која се обавила око болесне девојчице и створила илузију да она улази у њу и започиње нов живот);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светлост, избављење и слобода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;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мотиви ћутања и говора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типични за прозу Исидоре Секулић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; присуство </w:t>
            </w: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библијских мотива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– помињање библијских јунака Мојсија, Христа и Давида. </w:t>
            </w:r>
          </w:p>
          <w:p w:rsidR="00000000" w:rsidRDefault="006D18F5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6D18F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Круг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је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обруч који се врти око средиш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та, који ужасава јунакињу, 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круг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је</w:t>
            </w:r>
            <w:r w:rsidRPr="006D18F5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симбол неслободе у којем су сви исти, симбол ропства, док она тежи ономе иза тих граница, тежи слободи која је негде далеко од средишта. Додаје да у причи постоје два света – један је свет у кругу (наглашена субјективност и жеља да се побегне из круга, да се ослободи тескобе и притисака), други је изван круга (у њему нема уживања, када се до њега дође, већ се ствара жеља да се врати назад у круг; несналажење, неприхватање). Ова два круга се непрекидно сударају и траже.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9646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23030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Pr="0022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рочитајте текстове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из </w:t>
            </w:r>
            <w:r w:rsidRPr="002230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170</w:t>
            </w:r>
            <w:r w:rsidR="007964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–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71. стр. </w:t>
            </w:r>
            <w:r w:rsidRPr="0022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и упоредите своја тумачења приче </w:t>
            </w:r>
            <w:r w:rsidRPr="0022303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Круг </w:t>
            </w:r>
            <w:r w:rsidRPr="002230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с датим тумачењима.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D86B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D86B9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043A58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D29A" w16cex:dateUtc="2022-11-30T12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043A587" w16cid:durableId="2731D29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34A"/>
    <w:multiLevelType w:val="hybridMultilevel"/>
    <w:tmpl w:val="3F20142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DB34322"/>
    <w:multiLevelType w:val="hybridMultilevel"/>
    <w:tmpl w:val="7E18FF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666A07"/>
    <w:multiLevelType w:val="hybridMultilevel"/>
    <w:tmpl w:val="D6A868CA"/>
    <w:lvl w:ilvl="0" w:tplc="2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D54F3"/>
    <w:multiLevelType w:val="hybridMultilevel"/>
    <w:tmpl w:val="8C5C48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6A2D56"/>
    <w:multiLevelType w:val="hybridMultilevel"/>
    <w:tmpl w:val="F09C0F10"/>
    <w:lvl w:ilvl="0" w:tplc="EE7A60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A7167E"/>
    <w:multiLevelType w:val="hybridMultilevel"/>
    <w:tmpl w:val="4246FF9C"/>
    <w:lvl w:ilvl="0" w:tplc="EE7A6080">
      <w:numFmt w:val="bullet"/>
      <w:lvlText w:val="•"/>
      <w:lvlJc w:val="left"/>
      <w:pPr>
        <w:ind w:left="16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974878"/>
    <w:multiLevelType w:val="hybridMultilevel"/>
    <w:tmpl w:val="C64C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0868D6"/>
    <w:multiLevelType w:val="hybridMultilevel"/>
    <w:tmpl w:val="55CCD7E4"/>
    <w:lvl w:ilvl="0" w:tplc="EE7A6080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12414CB"/>
    <w:multiLevelType w:val="hybridMultilevel"/>
    <w:tmpl w:val="E1C60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860922"/>
    <w:multiLevelType w:val="hybridMultilevel"/>
    <w:tmpl w:val="607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AE69D6"/>
    <w:multiLevelType w:val="hybridMultilevel"/>
    <w:tmpl w:val="0E5E88DA"/>
    <w:lvl w:ilvl="0" w:tplc="EE7A6080">
      <w:numFmt w:val="bullet"/>
      <w:lvlText w:val="•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F645A3D"/>
    <w:multiLevelType w:val="hybridMultilevel"/>
    <w:tmpl w:val="85CA3CA0"/>
    <w:lvl w:ilvl="0" w:tplc="265CF7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B3D463F"/>
    <w:multiLevelType w:val="hybridMultilevel"/>
    <w:tmpl w:val="4578935E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EFC08BD"/>
    <w:multiLevelType w:val="hybridMultilevel"/>
    <w:tmpl w:val="1206E1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06C3C03"/>
    <w:multiLevelType w:val="hybridMultilevel"/>
    <w:tmpl w:val="01883E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52AD0"/>
    <w:multiLevelType w:val="hybridMultilevel"/>
    <w:tmpl w:val="967C8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0"/>
  </w:num>
  <w:num w:numId="3">
    <w:abstractNumId w:val="7"/>
  </w:num>
  <w:num w:numId="4">
    <w:abstractNumId w:val="3"/>
  </w:num>
  <w:num w:numId="5">
    <w:abstractNumId w:val="11"/>
  </w:num>
  <w:num w:numId="6">
    <w:abstractNumId w:val="19"/>
  </w:num>
  <w:num w:numId="7">
    <w:abstractNumId w:val="4"/>
  </w:num>
  <w:num w:numId="8">
    <w:abstractNumId w:val="2"/>
  </w:num>
  <w:num w:numId="9">
    <w:abstractNumId w:val="16"/>
  </w:num>
  <w:num w:numId="10">
    <w:abstractNumId w:val="12"/>
  </w:num>
  <w:num w:numId="11">
    <w:abstractNumId w:val="13"/>
  </w:num>
  <w:num w:numId="12">
    <w:abstractNumId w:val="15"/>
  </w:num>
  <w:num w:numId="13">
    <w:abstractNumId w:val="0"/>
  </w:num>
  <w:num w:numId="14">
    <w:abstractNumId w:val="8"/>
  </w:num>
  <w:num w:numId="15">
    <w:abstractNumId w:val="18"/>
  </w:num>
  <w:num w:numId="16">
    <w:abstractNumId w:val="1"/>
  </w:num>
  <w:num w:numId="17">
    <w:abstractNumId w:val="10"/>
  </w:num>
  <w:num w:numId="18">
    <w:abstractNumId w:val="5"/>
  </w:num>
  <w:num w:numId="19">
    <w:abstractNumId w:val="6"/>
  </w:num>
  <w:num w:numId="20">
    <w:abstractNumId w:val="14"/>
  </w:num>
  <w:num w:numId="21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356D3"/>
    <w:rsid w:val="000573BD"/>
    <w:rsid w:val="00060300"/>
    <w:rsid w:val="00070D65"/>
    <w:rsid w:val="00093A32"/>
    <w:rsid w:val="000943FD"/>
    <w:rsid w:val="000B4FEC"/>
    <w:rsid w:val="000E0211"/>
    <w:rsid w:val="000E3A96"/>
    <w:rsid w:val="000E757C"/>
    <w:rsid w:val="000F3DC0"/>
    <w:rsid w:val="001004CD"/>
    <w:rsid w:val="001140CD"/>
    <w:rsid w:val="001224FB"/>
    <w:rsid w:val="00143849"/>
    <w:rsid w:val="00157798"/>
    <w:rsid w:val="001614DC"/>
    <w:rsid w:val="00176971"/>
    <w:rsid w:val="001772DF"/>
    <w:rsid w:val="00184951"/>
    <w:rsid w:val="001930C3"/>
    <w:rsid w:val="001968AE"/>
    <w:rsid w:val="001A1ACC"/>
    <w:rsid w:val="001A644E"/>
    <w:rsid w:val="00204AC4"/>
    <w:rsid w:val="002104BB"/>
    <w:rsid w:val="0021474B"/>
    <w:rsid w:val="00223030"/>
    <w:rsid w:val="00243807"/>
    <w:rsid w:val="00244CD4"/>
    <w:rsid w:val="00260285"/>
    <w:rsid w:val="0026325C"/>
    <w:rsid w:val="0026572B"/>
    <w:rsid w:val="00266FE6"/>
    <w:rsid w:val="002B29ED"/>
    <w:rsid w:val="002C615A"/>
    <w:rsid w:val="002E5179"/>
    <w:rsid w:val="00300F22"/>
    <w:rsid w:val="00302E0E"/>
    <w:rsid w:val="00314F94"/>
    <w:rsid w:val="003160AF"/>
    <w:rsid w:val="00316F8E"/>
    <w:rsid w:val="0032279D"/>
    <w:rsid w:val="003509E7"/>
    <w:rsid w:val="00353806"/>
    <w:rsid w:val="00360E1C"/>
    <w:rsid w:val="00382DBB"/>
    <w:rsid w:val="003929C8"/>
    <w:rsid w:val="003A08A6"/>
    <w:rsid w:val="003B27C8"/>
    <w:rsid w:val="003D1716"/>
    <w:rsid w:val="003D65A1"/>
    <w:rsid w:val="003D6A67"/>
    <w:rsid w:val="003E06CD"/>
    <w:rsid w:val="003F1418"/>
    <w:rsid w:val="00400557"/>
    <w:rsid w:val="00415396"/>
    <w:rsid w:val="00416C61"/>
    <w:rsid w:val="0042578F"/>
    <w:rsid w:val="004262A6"/>
    <w:rsid w:val="00431FB5"/>
    <w:rsid w:val="00446668"/>
    <w:rsid w:val="00466742"/>
    <w:rsid w:val="0048223D"/>
    <w:rsid w:val="00495A11"/>
    <w:rsid w:val="004F008A"/>
    <w:rsid w:val="004F03AD"/>
    <w:rsid w:val="004F5A83"/>
    <w:rsid w:val="005064EF"/>
    <w:rsid w:val="005677DB"/>
    <w:rsid w:val="005A191C"/>
    <w:rsid w:val="005A39D1"/>
    <w:rsid w:val="005B02AE"/>
    <w:rsid w:val="005E7322"/>
    <w:rsid w:val="00622BA6"/>
    <w:rsid w:val="00625214"/>
    <w:rsid w:val="0062792D"/>
    <w:rsid w:val="00631CEF"/>
    <w:rsid w:val="00633F99"/>
    <w:rsid w:val="00634E6A"/>
    <w:rsid w:val="00645178"/>
    <w:rsid w:val="00646DC0"/>
    <w:rsid w:val="006654E4"/>
    <w:rsid w:val="006665BD"/>
    <w:rsid w:val="00680E69"/>
    <w:rsid w:val="006975D0"/>
    <w:rsid w:val="006A10F9"/>
    <w:rsid w:val="006A60F4"/>
    <w:rsid w:val="006A7D8F"/>
    <w:rsid w:val="006B1CC2"/>
    <w:rsid w:val="006C393D"/>
    <w:rsid w:val="006D05FB"/>
    <w:rsid w:val="006D18F5"/>
    <w:rsid w:val="00703BC8"/>
    <w:rsid w:val="0071668B"/>
    <w:rsid w:val="00723770"/>
    <w:rsid w:val="00725DC7"/>
    <w:rsid w:val="00732525"/>
    <w:rsid w:val="007365C4"/>
    <w:rsid w:val="00742CB7"/>
    <w:rsid w:val="007521A1"/>
    <w:rsid w:val="007624CA"/>
    <w:rsid w:val="0076652A"/>
    <w:rsid w:val="007809AE"/>
    <w:rsid w:val="00793D8D"/>
    <w:rsid w:val="00796460"/>
    <w:rsid w:val="007B01E5"/>
    <w:rsid w:val="007C3B36"/>
    <w:rsid w:val="007C798B"/>
    <w:rsid w:val="007D20B8"/>
    <w:rsid w:val="007D6895"/>
    <w:rsid w:val="007E4C04"/>
    <w:rsid w:val="007F07AF"/>
    <w:rsid w:val="007F5CF8"/>
    <w:rsid w:val="00802E53"/>
    <w:rsid w:val="00804149"/>
    <w:rsid w:val="00806FA9"/>
    <w:rsid w:val="0081010D"/>
    <w:rsid w:val="00813998"/>
    <w:rsid w:val="00832D1E"/>
    <w:rsid w:val="00845BF9"/>
    <w:rsid w:val="00853448"/>
    <w:rsid w:val="00853741"/>
    <w:rsid w:val="00870DE7"/>
    <w:rsid w:val="00880B51"/>
    <w:rsid w:val="00894B00"/>
    <w:rsid w:val="008A5CF0"/>
    <w:rsid w:val="008A681F"/>
    <w:rsid w:val="008B0771"/>
    <w:rsid w:val="008B12BE"/>
    <w:rsid w:val="008B138D"/>
    <w:rsid w:val="008C639A"/>
    <w:rsid w:val="008E436E"/>
    <w:rsid w:val="008F14AC"/>
    <w:rsid w:val="008F1872"/>
    <w:rsid w:val="00903D08"/>
    <w:rsid w:val="00907902"/>
    <w:rsid w:val="00911F1C"/>
    <w:rsid w:val="00914104"/>
    <w:rsid w:val="00952510"/>
    <w:rsid w:val="009552A4"/>
    <w:rsid w:val="00974071"/>
    <w:rsid w:val="009771F1"/>
    <w:rsid w:val="00977430"/>
    <w:rsid w:val="009B3343"/>
    <w:rsid w:val="009B6EDA"/>
    <w:rsid w:val="009C6BC8"/>
    <w:rsid w:val="009D1BA1"/>
    <w:rsid w:val="009E194F"/>
    <w:rsid w:val="009E52DC"/>
    <w:rsid w:val="009F370D"/>
    <w:rsid w:val="00A051AC"/>
    <w:rsid w:val="00A074FA"/>
    <w:rsid w:val="00A14C47"/>
    <w:rsid w:val="00A30578"/>
    <w:rsid w:val="00A66662"/>
    <w:rsid w:val="00A6702A"/>
    <w:rsid w:val="00A7620A"/>
    <w:rsid w:val="00A9098E"/>
    <w:rsid w:val="00AA0F68"/>
    <w:rsid w:val="00AC1A10"/>
    <w:rsid w:val="00AC7B55"/>
    <w:rsid w:val="00AD17FB"/>
    <w:rsid w:val="00AF6593"/>
    <w:rsid w:val="00B04FD8"/>
    <w:rsid w:val="00B05478"/>
    <w:rsid w:val="00B305AF"/>
    <w:rsid w:val="00B408D1"/>
    <w:rsid w:val="00B55C5F"/>
    <w:rsid w:val="00B7660A"/>
    <w:rsid w:val="00B824FD"/>
    <w:rsid w:val="00B8582D"/>
    <w:rsid w:val="00B873A1"/>
    <w:rsid w:val="00B96BBC"/>
    <w:rsid w:val="00BB37AF"/>
    <w:rsid w:val="00BB7EA4"/>
    <w:rsid w:val="00BD1E7F"/>
    <w:rsid w:val="00BD6E21"/>
    <w:rsid w:val="00BD730F"/>
    <w:rsid w:val="00BE34F1"/>
    <w:rsid w:val="00BE6610"/>
    <w:rsid w:val="00BF3A71"/>
    <w:rsid w:val="00C24E11"/>
    <w:rsid w:val="00C2585C"/>
    <w:rsid w:val="00C5261B"/>
    <w:rsid w:val="00CB4796"/>
    <w:rsid w:val="00CB7B2F"/>
    <w:rsid w:val="00CC56F7"/>
    <w:rsid w:val="00CD7A79"/>
    <w:rsid w:val="00CF2F37"/>
    <w:rsid w:val="00D14C80"/>
    <w:rsid w:val="00D34E2C"/>
    <w:rsid w:val="00D41F28"/>
    <w:rsid w:val="00D426A6"/>
    <w:rsid w:val="00D529E1"/>
    <w:rsid w:val="00D56D96"/>
    <w:rsid w:val="00D60476"/>
    <w:rsid w:val="00D63D2E"/>
    <w:rsid w:val="00D644E7"/>
    <w:rsid w:val="00D64EAF"/>
    <w:rsid w:val="00D7049A"/>
    <w:rsid w:val="00D86B91"/>
    <w:rsid w:val="00DB1D85"/>
    <w:rsid w:val="00DC3446"/>
    <w:rsid w:val="00DD4901"/>
    <w:rsid w:val="00DE22AD"/>
    <w:rsid w:val="00DE432E"/>
    <w:rsid w:val="00DE7284"/>
    <w:rsid w:val="00DF234B"/>
    <w:rsid w:val="00DF6257"/>
    <w:rsid w:val="00E1581D"/>
    <w:rsid w:val="00E16A4C"/>
    <w:rsid w:val="00E21ED2"/>
    <w:rsid w:val="00E263C5"/>
    <w:rsid w:val="00E311AF"/>
    <w:rsid w:val="00E56956"/>
    <w:rsid w:val="00E626AA"/>
    <w:rsid w:val="00E73560"/>
    <w:rsid w:val="00E93EBB"/>
    <w:rsid w:val="00E976BD"/>
    <w:rsid w:val="00EA42C3"/>
    <w:rsid w:val="00EB5359"/>
    <w:rsid w:val="00ED0A0B"/>
    <w:rsid w:val="00EF009B"/>
    <w:rsid w:val="00EF53C4"/>
    <w:rsid w:val="00EF5723"/>
    <w:rsid w:val="00F3219C"/>
    <w:rsid w:val="00F3523D"/>
    <w:rsid w:val="00F67FD4"/>
    <w:rsid w:val="00F73ACB"/>
    <w:rsid w:val="00F813DD"/>
    <w:rsid w:val="00F8761F"/>
    <w:rsid w:val="00F97758"/>
    <w:rsid w:val="00FA75C6"/>
    <w:rsid w:val="00FB3D38"/>
    <w:rsid w:val="00FB402A"/>
    <w:rsid w:val="00FC4EE2"/>
    <w:rsid w:val="00FD3880"/>
    <w:rsid w:val="00FD4FFE"/>
    <w:rsid w:val="00FE77D8"/>
    <w:rsid w:val="00FF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A79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80414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80414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804149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804149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804149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B1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B12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15BB0-ECF6-41CE-946F-E71B89BCD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934</Words>
  <Characters>5324</Characters>
  <Application>Microsoft Office Word</Application>
  <DocSecurity>0</DocSecurity>
  <Lines>44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11</cp:revision>
  <dcterms:created xsi:type="dcterms:W3CDTF">2022-11-27T21:32:00Z</dcterms:created>
  <dcterms:modified xsi:type="dcterms:W3CDTF">2022-12-05T10:50:00Z</dcterms:modified>
</cp:coreProperties>
</file>