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160" w:vertAnchor="page" w:horzAnchor="page" w:tblpX="986" w:tblpY="1036"/>
        <w:tblW w:w="10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5"/>
        <w:gridCol w:w="3941"/>
        <w:gridCol w:w="1745"/>
        <w:gridCol w:w="2424"/>
      </w:tblGrid>
      <w:tr w:rsidR="00AE5B81" w:rsidTr="00E01251">
        <w:trPr>
          <w:trHeight w:val="429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E62D0D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 xml:space="preserve"> 108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>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lang w:val="sr-Cyrl-R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 w:val="sr-Cyrl-RS"/>
              </w:rPr>
              <w:t>трећи</w:t>
            </w:r>
          </w:p>
        </w:tc>
        <w:tc>
          <w:tcPr>
            <w:tcW w:w="2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CC7AF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Књижевност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663F7A" w:rsidRDefault="00663F7A" w:rsidP="00E041B8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 w:val="sr-Cyrl-RS"/>
              </w:rPr>
            </w:pPr>
            <w:r w:rsidRPr="00663F7A">
              <w:rPr>
                <w:rFonts w:ascii="Times New Roman" w:hAnsi="Times New Roman"/>
                <w:b/>
                <w:sz w:val="24"/>
                <w:szCs w:val="24"/>
                <w:lang w:val="sr-Cyrl-RS"/>
              </w:rPr>
              <w:t xml:space="preserve">Иван В. Лалић: </w:t>
            </w:r>
            <w:r w:rsidRPr="00663F7A">
              <w:rPr>
                <w:rFonts w:ascii="Times New Roman" w:hAnsi="Times New Roman"/>
                <w:b/>
                <w:i/>
                <w:sz w:val="24"/>
                <w:szCs w:val="24"/>
                <w:lang w:val="sr-Cyrl-RS"/>
              </w:rPr>
              <w:t>Плава гробница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Обрада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CA6DE9" w:rsidRDefault="00CA6DE9" w:rsidP="00015F8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 w:rsidRPr="00CA6DE9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Упознавање са биографијом</w:t>
            </w:r>
            <w:r w:rsidR="00247DD7" w:rsidRPr="00CA6DE9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 xml:space="preserve"> Ивана В. Лалића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и значајем који има у српској књижевности;</w:t>
            </w:r>
          </w:p>
          <w:p w:rsidR="00CA6DE9" w:rsidRDefault="008A7A5E" w:rsidP="00015F8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т</w:t>
            </w:r>
            <w:r w:rsidR="00CA6DE9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умачење песме: уочавање теме, мотива, стилских одлика;</w:t>
            </w:r>
          </w:p>
          <w:p w:rsidR="00247DD7" w:rsidRPr="00CA6DE9" w:rsidRDefault="008A7A5E" w:rsidP="00015F8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р</w:t>
            </w:r>
            <w:r w:rsidR="00247DD7" w:rsidRPr="00CA6DE9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азумевање подтекста (</w:t>
            </w:r>
            <w:proofErr w:type="spellStart"/>
            <w:r w:rsidR="00CA6DE9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Бојићеве</w:t>
            </w:r>
            <w:proofErr w:type="spellEnd"/>
            <w:r w:rsidR="00CA6DE9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 xml:space="preserve"> песме);</w:t>
            </w:r>
          </w:p>
          <w:p w:rsidR="00247DD7" w:rsidRPr="001E04AE" w:rsidRDefault="008A7A5E" w:rsidP="00247DD7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т</w:t>
            </w:r>
            <w:r w:rsidR="00247DD7" w:rsidRPr="001E04AE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умачење поетике простора у делу</w:t>
            </w:r>
            <w:r w:rsidR="00ED431B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;</w:t>
            </w:r>
          </w:p>
          <w:p w:rsidR="000911E7" w:rsidRPr="006D24F1" w:rsidRDefault="008A7A5E" w:rsidP="00CA6DE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р</w:t>
            </w:r>
            <w:r w:rsidR="00247DD7" w:rsidRPr="001E04AE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 xml:space="preserve">азвијање радозналости, читалачких компетенција и </w:t>
            </w:r>
            <w:r w:rsidR="00CA6DE9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 xml:space="preserve">способности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повезивања знања</w:t>
            </w:r>
          </w:p>
        </w:tc>
      </w:tr>
      <w:tr w:rsidR="00AE5B81" w:rsidTr="00E0125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DD1FF1" w:rsidRDefault="00DD1FF1" w:rsidP="00DD1FF1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изнесе најважније</w:t>
            </w:r>
            <w:r w:rsidRPr="001E04A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податке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 писцу</w:t>
            </w:r>
            <w:r w:rsidRPr="001E04AE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247DD7" w:rsidRPr="00DD1FF1" w:rsidRDefault="00247DD7" w:rsidP="00DD1FF1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DD1F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издвоји главне одлике Лалићеве песме (тема, главни мотиви, стилска средства) имајући у виду интертекстуалну везу са </w:t>
            </w:r>
            <w:proofErr w:type="spellStart"/>
            <w:r w:rsidRPr="00DD1FF1">
              <w:rPr>
                <w:rFonts w:ascii="Times New Roman" w:hAnsi="Times New Roman"/>
                <w:sz w:val="24"/>
                <w:szCs w:val="24"/>
                <w:lang w:val="sr-Cyrl-RS"/>
              </w:rPr>
              <w:t>Бојићевом</w:t>
            </w:r>
            <w:proofErr w:type="spellEnd"/>
            <w:r w:rsidRPr="00DD1F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DD1FF1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Плавом гробницом</w:t>
            </w:r>
            <w:r w:rsidRPr="00DD1FF1">
              <w:rPr>
                <w:rFonts w:ascii="Times New Roman" w:hAnsi="Times New Roman"/>
                <w:sz w:val="24"/>
                <w:szCs w:val="24"/>
                <w:lang w:val="sr-Cyrl-RS"/>
              </w:rPr>
              <w:t>;</w:t>
            </w:r>
          </w:p>
          <w:p w:rsidR="00247DD7" w:rsidRPr="001E04AE" w:rsidRDefault="00247DD7" w:rsidP="00247DD7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E04AE">
              <w:rPr>
                <w:rFonts w:ascii="Times New Roman" w:hAnsi="Times New Roman"/>
                <w:sz w:val="24"/>
                <w:szCs w:val="24"/>
                <w:lang w:val="sr-Cyrl-RS"/>
              </w:rPr>
              <w:t>сажето објасни особености употребљене ироније у песми;</w:t>
            </w:r>
          </w:p>
          <w:p w:rsidR="005C2A55" w:rsidRPr="006D24F1" w:rsidRDefault="00247DD7" w:rsidP="00DD1FF1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1E04AE">
              <w:rPr>
                <w:rFonts w:ascii="Times New Roman" w:hAnsi="Times New Roman"/>
                <w:sz w:val="24"/>
                <w:szCs w:val="24"/>
                <w:lang w:val="sr-Cyrl-RS"/>
              </w:rPr>
              <w:t>изнесе лични став</w:t>
            </w:r>
            <w:r w:rsidR="00DD1FF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аргументовано га образложи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F02B0B" w:rsidP="00F02B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Дијалошка, монолошка</w:t>
            </w:r>
            <w:r w:rsidR="000911E7" w:rsidRPr="000911E7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, текстовна метода</w:t>
            </w:r>
            <w:r w:rsidR="0038148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r w:rsidR="00381486">
              <w:rPr>
                <w:rFonts w:ascii="Times New Roman" w:hAnsi="Times New Roman"/>
                <w:color w:val="000000"/>
                <w:sz w:val="24"/>
                <w:szCs w:val="24"/>
                <w:lang w:val="sr-Cyrl-RS" w:eastAsia="en-GB"/>
              </w:rPr>
              <w:t>демонстративна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sr-Cyrl-RS"/>
              </w:rPr>
              <w:t>Фронтални</w:t>
            </w:r>
            <w:r w:rsidR="000911E7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sr-Cyrl-RS"/>
              </w:rPr>
              <w:t>, индивидуални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CC61AE" w:rsidRDefault="00381486" w:rsidP="003814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 3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846C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424BB1">
              <w:rPr>
                <w:rFonts w:ascii="Times New Roman" w:hAnsi="Times New Roman"/>
                <w:sz w:val="24"/>
                <w:szCs w:val="24"/>
                <w:lang w:val="sr-Cyrl-RS"/>
              </w:rPr>
              <w:t>,</w:t>
            </w:r>
            <w:r w:rsidR="00424BB1" w:rsidRPr="00424BB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компетенција за учешће у демократском друштву</w:t>
            </w:r>
            <w:r w:rsidR="00424BB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F3378B" w:rsidRDefault="000911E7" w:rsidP="00424B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0911E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Психологија, </w:t>
            </w:r>
            <w:r w:rsidR="00381486">
              <w:rPr>
                <w:rFonts w:ascii="Times New Roman" w:hAnsi="Times New Roman"/>
                <w:sz w:val="24"/>
                <w:szCs w:val="24"/>
                <w:lang w:val="sr-Cyrl-RS"/>
              </w:rPr>
              <w:t>Грађанско васпитање, Филозофија, Историја, Географија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4B4578" w:rsidP="004B457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4B4578">
              <w:rPr>
                <w:rFonts w:ascii="Times New Roman" w:hAnsi="Times New Roman"/>
                <w:sz w:val="24"/>
                <w:szCs w:val="24"/>
                <w:lang w:val="sr-Cyrl-RS"/>
              </w:rPr>
              <w:t>Први светски рат, Крф, интертекстуалност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, иронија, рефрен</w:t>
            </w:r>
          </w:p>
        </w:tc>
      </w:tr>
      <w:tr w:rsidR="00AE5B81" w:rsidTr="00E0125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B81" w:rsidRPr="00EB68A3" w:rsidRDefault="00AE5B81" w:rsidP="000911E7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AE5B81" w:rsidTr="00E01251">
        <w:trPr>
          <w:trHeight w:val="391"/>
        </w:trPr>
        <w:tc>
          <w:tcPr>
            <w:tcW w:w="10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240" w:rsidRDefault="00AE5B81" w:rsidP="00A77AE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</w:p>
          <w:p w:rsidR="00A77AEB" w:rsidRPr="00BC3240" w:rsidRDefault="00BC3240" w:rsidP="00A77AE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Најпре наставник упознаје ученике са биографским подацима, врши локализацију текста и објашњава појам интертекстуалности. </w:t>
            </w:r>
          </w:p>
          <w:p w:rsidR="00BC3240" w:rsidRPr="00BC3240" w:rsidRDefault="00C56C42" w:rsidP="00BC3240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C56C42">
              <w:rPr>
                <w:rFonts w:ascii="Times New Roman" w:eastAsia="Times New Roman" w:hAnsi="Times New Roman"/>
                <w:color w:val="1F1E21"/>
                <w:sz w:val="24"/>
                <w:szCs w:val="24"/>
                <w:lang w:val="sr-Cyrl-RS"/>
              </w:rPr>
              <w:t>Иван В. Лалић</w:t>
            </w:r>
            <w:r w:rsidR="00BC3240">
              <w:rPr>
                <w:rFonts w:ascii="Times New Roman" w:eastAsia="Times New Roman" w:hAnsi="Times New Roman"/>
                <w:color w:val="1F1E21"/>
                <w:sz w:val="24"/>
                <w:szCs w:val="24"/>
                <w:lang w:val="sr-Cyrl-RS"/>
              </w:rPr>
              <w:t xml:space="preserve"> </w:t>
            </w:r>
            <w:r w:rsidRPr="00C56C42">
              <w:rPr>
                <w:rFonts w:ascii="Times New Roman" w:eastAsia="Times New Roman" w:hAnsi="Times New Roman"/>
                <w:color w:val="1F1E21"/>
                <w:sz w:val="24"/>
                <w:szCs w:val="24"/>
                <w:lang w:val="sr-Cyrl-RS"/>
              </w:rPr>
              <w:t xml:space="preserve"> </w:t>
            </w:r>
            <w:r w:rsidR="00BC3240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BC3240"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>рипада  најзначајнијим српским песницима</w:t>
            </w:r>
            <w:r w:rsid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неосимболизма</w:t>
            </w:r>
            <w:r w:rsidR="00BC3240"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друге половине </w:t>
            </w:r>
            <w:r w:rsidR="00BC3240" w:rsidRPr="00BC3240">
              <w:rPr>
                <w:rFonts w:ascii="Times New Roman" w:hAnsi="Times New Roman"/>
                <w:sz w:val="24"/>
                <w:szCs w:val="24"/>
                <w:lang w:val="sr-Latn-CS"/>
              </w:rPr>
              <w:t>XX</w:t>
            </w:r>
            <w:r w:rsidR="00BC3240"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века. Рођен је у Београду. Породица се након Другог светског рата преселила у Загреб где је завршио гимназију. На позив Александра Вуча 1961. године постао је секретар Савеза књижевника Југославије и присуствовао је додели Нобелове награде Иви Андрићу. Био је уредник у издавачким предузећима </w:t>
            </w:r>
            <w:r w:rsidR="00BC3240" w:rsidRPr="008A7A5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Југославија</w:t>
            </w:r>
            <w:r w:rsidR="00BC3240"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и </w:t>
            </w:r>
            <w:r w:rsidR="00BC3240" w:rsidRPr="008A7A5E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Нолит</w:t>
            </w:r>
            <w:r w:rsidR="00BC3240"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Био је управник Андрићеве задужбине. Изабран је за дописног члана Српске академије наука и уметности. Добитник је значајних награда за књижевно стварање. </w:t>
            </w:r>
          </w:p>
          <w:p w:rsidR="00BC3240" w:rsidRDefault="00BC3240" w:rsidP="00BC3240">
            <w:pPr>
              <w:spacing w:after="200" w:line="276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Богато познавање европске културе и књижевности у његовом делу је спојило традицију и модерност. Лалић је готово ненадмашан у домаћој књижевности по свом </w:t>
            </w:r>
            <w:proofErr w:type="spellStart"/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>версификацијском</w:t>
            </w:r>
            <w:proofErr w:type="spellEnd"/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умећу. </w:t>
            </w:r>
          </w:p>
          <w:p w:rsidR="00BC3240" w:rsidRPr="00BC3240" w:rsidRDefault="00BC3240" w:rsidP="00BC3240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>„Лалићево стваралачко искуство очигледан је знак како поезија може бити изузетно модерна, битно национална и дубоко религиозна“ (Александар Јовановић).</w:t>
            </w:r>
          </w:p>
          <w:p w:rsidR="00BC3240" w:rsidRPr="00BC3240" w:rsidRDefault="00BC3240" w:rsidP="00BC3240">
            <w:pPr>
              <w:spacing w:after="200" w:line="276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Збирке песама: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Бивши дечак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(, 1955),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Ветровито пролеће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(1956),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Велика врата мора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(1958),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Мелиса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(1959),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Аргонаути и друге песме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(1961),  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Време, ватре, вртови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(1961),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Чин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(1963),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Круг 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(1968),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Изабране и нове песме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(1969),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Сметње на везама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(1975),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Страсна мера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(1984),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Песме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(1987), 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Византија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(1988),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Места која волимо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(1992), 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Писмо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(1992),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Песме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(1995),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Верни одсутном </w:t>
            </w:r>
            <w:proofErr w:type="spellStart"/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прволуку</w:t>
            </w:r>
            <w:proofErr w:type="spellEnd"/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/Три византијска круга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(1996), </w:t>
            </w:r>
            <w:r w:rsidRPr="00BC3240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Четири канона</w:t>
            </w:r>
            <w:r w:rsidRPr="00BC3240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(1996) и др. </w:t>
            </w:r>
          </w:p>
          <w:p w:rsidR="00585244" w:rsidRPr="0022357E" w:rsidRDefault="00585244" w:rsidP="00BC3240">
            <w:pPr>
              <w:spacing w:after="50" w:line="240" w:lineRule="auto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 w:val="sr-Cyrl-RS"/>
              </w:rPr>
            </w:pP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42" w:rsidRPr="00C56C42" w:rsidRDefault="00BC3240" w:rsidP="00C56C4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en-GB"/>
              </w:rPr>
            </w:pPr>
            <w:r w:rsidRPr="00691BCA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Након изражајног читања</w:t>
            </w:r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Лалићеве песме </w:t>
            </w:r>
            <w:r w:rsidR="00C56C42" w:rsidRP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Плава гробница</w:t>
            </w:r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, наставник саопштава да је песма објављена у збирци песама </w:t>
            </w:r>
            <w:r w:rsidR="00C56C42" w:rsidRP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Писмо</w:t>
            </w:r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(1992) и да ју је Лалић сачинио ослањајући се на </w:t>
            </w:r>
            <w:proofErr w:type="spellStart"/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Бојићеву</w:t>
            </w:r>
            <w:proofErr w:type="spellEnd"/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истоимену песму. Лалићева </w:t>
            </w:r>
            <w:r w:rsidR="00C56C42" w:rsidRP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Плава гробница</w:t>
            </w:r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је започета на Крфу 1985. године, а завршена у Београду 1989. године. Интертекстуална веза између ова два песника започета је још 1968. године у Лалићевом есеју </w:t>
            </w:r>
            <w:r w:rsidR="00C56C42" w:rsidRP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О поезији</w:t>
            </w:r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Милутина Бојића, у којем Лалић свог претходника сагледава као песника историје и Византије.</w:t>
            </w:r>
          </w:p>
          <w:p w:rsidR="00C56C42" w:rsidRPr="00C56C42" w:rsidRDefault="00691BCA" w:rsidP="00C56C4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Какви су утисци након чи</w:t>
            </w:r>
            <w:r w:rsidR="00BC3240" w:rsidRPr="00BC3240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тања песме? Које мотиве сте уочили? Зашто Лалић води овај лирски дијалог?</w:t>
            </w:r>
          </w:p>
          <w:p w:rsidR="00C56C42" w:rsidRPr="00C56C42" w:rsidRDefault="00BC3240" w:rsidP="00C56C42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</w:pP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Ученици ће најпре уочити иронични тон (контраст некад и сад). Та слика садашњице на острву </w:t>
            </w:r>
            <w:proofErr w:type="spellStart"/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Видо</w:t>
            </w:r>
            <w:proofErr w:type="spellEnd"/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(песма је настала у 20. веку, али се слика није променила ни у овом веку) и навела</w:t>
            </w:r>
            <w:r w:rsidR="008A7A5E"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је </w:t>
            </w: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Лалића да напише своју Плаву гробницу.  Лалић пружа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нови поглед на </w:t>
            </w:r>
            <w:r w:rsid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„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плаву гробницу</w:t>
            </w:r>
            <w:r w:rsid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“</w:t>
            </w: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и као да наставља тамо где је Бојић стао. </w:t>
            </w:r>
          </w:p>
          <w:p w:rsidR="00C56C42" w:rsidRPr="00C56C42" w:rsidRDefault="00691BCA" w:rsidP="00C56C4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Испитајте структуру песме. Обр</w:t>
            </w:r>
            <w:r w:rsidR="008A7A5E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атите пажњу на функцију рефрена. </w:t>
            </w:r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Упоредите </w:t>
            </w:r>
            <w:proofErr w:type="spellStart"/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Бојићеву</w:t>
            </w:r>
            <w:proofErr w:type="spellEnd"/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и Лалићеву </w:t>
            </w:r>
            <w:r w:rsidR="00C56C42" w:rsidRP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Плаву гробницу</w:t>
            </w:r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и </w:t>
            </w: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о</w:t>
            </w:r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бразложите </w:t>
            </w: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смисао преузетих стихова.</w:t>
            </w:r>
          </w:p>
          <w:p w:rsidR="00C56C42" w:rsidRPr="00C56C42" w:rsidRDefault="00691BCA" w:rsidP="00691BCA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</w:pP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Поред истог наслова, Лалићев лирски субјект, као и </w:t>
            </w:r>
            <w:proofErr w:type="spellStart"/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Бојићев</w:t>
            </w:r>
            <w:proofErr w:type="spellEnd"/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, </w:t>
            </w: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пева 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у првом лицу и у истом простору – </w:t>
            </w: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„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над</w:t>
            </w: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овом светом водом“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.</w:t>
            </w: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Плава гробница има четрнаест строфа</w:t>
            </w: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(као и песма М. Бојића). К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ао код Бојића, прва, ше</w:t>
            </w: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ста, десета и четрнаеста строфа почињу стихом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: „Стојте, галије царске!”</w:t>
            </w: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. Ученици ће истаћи да прве стихове преузима од</w:t>
            </w:r>
            <w:r w:rsidR="00FB1B57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</w:t>
            </w: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Бојића и на њих се надовезује својим. Истичу да се ту уочава и контраст и тако стихови добијају нови смисао (преузети стихови постају шапат лирског субјекта,</w:t>
            </w:r>
            <w:r w:rsid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</w:t>
            </w:r>
            <w:r w:rsidRPr="00691BCA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надјачан вревом туриста). У том приказу виде иронију.</w:t>
            </w:r>
          </w:p>
          <w:p w:rsidR="00C56C42" w:rsidRPr="00C56C42" w:rsidRDefault="00C56C42" w:rsidP="00C56C4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en-GB"/>
              </w:rPr>
            </w:pPr>
          </w:p>
          <w:p w:rsidR="00C56C42" w:rsidRPr="00C56C42" w:rsidRDefault="00691BCA" w:rsidP="00C56C42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Како је дочарана атмосфера у којој лирски субјект држи опело?</w:t>
            </w:r>
            <w:r w:rsid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</w:t>
            </w:r>
            <w:r w:rsidR="00F45A64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У које доба дана?</w:t>
            </w:r>
            <w:r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</w:t>
            </w:r>
            <w:r w:rsid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На к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оји начин песнички субјект Лалићеве песме проговара о ратним страдањима српских хероја који почивају у плавој гробници? </w:t>
            </w:r>
            <w:r w:rsidR="00F45A64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Зашто лирски субјект шапће?</w:t>
            </w:r>
          </w:p>
          <w:p w:rsidR="00C56C42" w:rsidRPr="00C56C42" w:rsidRDefault="00C56C42" w:rsidP="00C56C42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</w:pPr>
          </w:p>
          <w:p w:rsidR="00C56C42" w:rsidRPr="00C56C42" w:rsidRDefault="006B5A3B" w:rsidP="00C56C42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</w:pP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П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еснички субјект 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даје слику људи који нису свесни тога на ком се месту налазе нити размишљају о историји и прошлости. Он памти трагичну историју и ово </w:t>
            </w:r>
            <w:proofErr w:type="spellStart"/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месте</w:t>
            </w:r>
            <w:proofErr w:type="spellEnd"/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одређује као један невидљиви, велики храм</w:t>
            </w:r>
            <w:r w:rsid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.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Он доживљава страдање јунака као узалудно, јер људи га не памте, не одају пошту страдалима, те је се </w:t>
            </w:r>
            <w:r w:rsid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ј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авља мисао о бесмисленом жртвовању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и да ће преци опет морати да се боре (судбина српског народа која је у историји већ потврђена након </w:t>
            </w:r>
            <w:r w:rsid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Првог светског 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рата). 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Лирски субјект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шапће у себи </w:t>
            </w:r>
            <w:proofErr w:type="spellStart"/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Бојићеве</w:t>
            </w:r>
            <w:proofErr w:type="spellEnd"/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стихове, али све што он види и чује је у нескладу са порукама које </w:t>
            </w:r>
            <w:proofErr w:type="spellStart"/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Бојићева</w:t>
            </w:r>
            <w:proofErr w:type="spellEnd"/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песма носи. 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Он 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се сусреће са беспосленим туристима, са сламним шеширима спуштеним на чело, са трајектом који чили према копну, са досадним водич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ем који рутински брбља,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са бучним глисерима, пеном од трајекта, мрљом од мазута, са шкљоцањем фотоапарата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...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Људи који би требало да одају почаст, скрнаве успомену на оно што би тр</w:t>
            </w:r>
            <w:r w:rsid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ебало заувек памтити. Зато он ш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апће, одаје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пошту умрлим војницима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, ако би гласно говорио, био би сличан онима које види у окружењу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.</w:t>
            </w:r>
            <w:r w:rsidR="00381721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Његово осећање је искрено и зато је то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шаптање опела једини начин да 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овакву „вашарску“ 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атмосферу претвори у нешто</w:t>
            </w:r>
            <w:r w:rsidRPr="006A3B9F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свето. </w:t>
            </w:r>
          </w:p>
          <w:p w:rsidR="00C56C42" w:rsidRPr="00C56C42" w:rsidRDefault="008A7A5E" w:rsidP="00C56C4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Зашто лирски</w:t>
            </w:r>
            <w:r w:rsidR="006A3B9F" w:rsidRPr="006A3B9F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субјект спомиње митске ликове Тантала и </w:t>
            </w:r>
            <w:proofErr w:type="spellStart"/>
            <w:r w:rsidR="006A3B9F" w:rsidRPr="006A3B9F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Сизифа</w:t>
            </w:r>
            <w:proofErr w:type="spellEnd"/>
            <w:r w:rsidR="006A3B9F" w:rsidRPr="006A3B9F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?</w:t>
            </w:r>
          </w:p>
          <w:p w:rsidR="00C56C42" w:rsidRPr="00C56C42" w:rsidRDefault="006A3B9F" w:rsidP="00C56C4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Ученици, или наставник објашњавају: </w:t>
            </w:r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Тантал је био син Зевса, који је кажњен за свој злочин (убио је свог сина </w:t>
            </w:r>
            <w:proofErr w:type="spellStart"/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Пелопа</w:t>
            </w:r>
            <w:proofErr w:type="spellEnd"/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и послужио га на гозби боговима са Олимпа) тако што је био осуђен на троструке муке: да буде вечно гладан, вечно жедан и да буде вечито у страху – да стоји у бистрој води до врата, а да се, када жели да је окуси, она повлачи; да му над главом висе гране пуне најлепших плодова воћа, а да се, сваки пут кад би покушао да их убере, оне подигну; да му над главом стално виси огромна стена, претећи да се сурва на њега, због чега се он стално плашио. Ове муке, познатије под именом </w:t>
            </w:r>
            <w:proofErr w:type="spellStart"/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Танталове</w:t>
            </w:r>
            <w:proofErr w:type="spellEnd"/>
            <w:r w:rsidR="00C56C42"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муке, показују непрестано трајање мука, које не могу да се прекрате; циљ је надомак руке, али стално измиче.</w:t>
            </w:r>
          </w:p>
          <w:p w:rsidR="00C56C42" w:rsidRPr="00C56C42" w:rsidRDefault="00C56C42" w:rsidP="00C56C4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RS" w:eastAsia="en-GB"/>
              </w:rPr>
            </w:pPr>
            <w:proofErr w:type="spellStart"/>
            <w:r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Сизиф</w:t>
            </w:r>
            <w:proofErr w:type="spellEnd"/>
            <w:r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је херој из грчке митологије познат као персонификација узалудног посла. </w:t>
            </w:r>
            <w:proofErr w:type="spellStart"/>
            <w:r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Сизиф</w:t>
            </w:r>
            <w:proofErr w:type="spellEnd"/>
            <w:r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је био осуђен да велику камену громаду гура уз планинску стрмину, како би је поставио на врх. Но, сваки пут када би се примакао врху, камена кугла би му се измакла и суновратила у подножје брда. </w:t>
            </w:r>
            <w:proofErr w:type="spellStart"/>
            <w:r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>Сизиф</w:t>
            </w:r>
            <w:proofErr w:type="spellEnd"/>
            <w:r w:rsidRPr="00C56C42">
              <w:rPr>
                <w:rFonts w:ascii="Times New Roman" w:hAnsi="Times New Roman"/>
                <w:sz w:val="24"/>
                <w:szCs w:val="24"/>
                <w:lang w:val="sr-Cyrl-RS" w:eastAsia="en-GB"/>
              </w:rPr>
              <w:t xml:space="preserve"> је тако покушавао изнова и изнова, али безуспешно. </w:t>
            </w:r>
          </w:p>
          <w:p w:rsidR="00D33397" w:rsidRDefault="006A3B9F" w:rsidP="007D3350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</w:pPr>
            <w:r w:rsidRPr="007D3350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Закључују да 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Лалићев </w:t>
            </w:r>
            <w:r w:rsidR="007D3350" w:rsidRPr="007D3350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л</w:t>
            </w:r>
            <w:r w:rsidRPr="007D3350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ирски</w:t>
            </w:r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субјект пореди српске војнике са Танталом и </w:t>
            </w:r>
            <w:proofErr w:type="spellStart"/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Сизифом</w:t>
            </w:r>
            <w:proofErr w:type="spellEnd"/>
            <w:r w:rsidR="00C56C42" w:rsidRPr="00C56C42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, </w:t>
            </w:r>
            <w:r w:rsidRPr="007D3350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јер жели да укаже на </w:t>
            </w:r>
            <w:proofErr w:type="spellStart"/>
            <w:r w:rsidRPr="007D3350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узалудост</w:t>
            </w:r>
            <w:proofErr w:type="spellEnd"/>
            <w:r w:rsidRPr="007D3350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и бесмисленост жртвовања, као и на то да страдање никада нећ</w:t>
            </w:r>
            <w:r w:rsidR="008A7A5E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е престати. Доказ за то је и Други </w:t>
            </w:r>
            <w:r w:rsidRPr="007D3350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светски рат.</w:t>
            </w:r>
            <w:r w:rsidR="007D3350"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Лирски субјект пева у 20. веку, у њему се такође страдало, зато и одлази на место где је настала Плава гробница, али увиђа да се страдања настављају, као што се и живот наставља. Међутим, са тог места, он шаље и поруку да „крв није вода“, што и сам потврђује.</w:t>
            </w:r>
          </w:p>
          <w:p w:rsidR="00186EA4" w:rsidRPr="007D3350" w:rsidRDefault="00186EA4" w:rsidP="007D3350">
            <w:pPr>
              <w:spacing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Ученици ће истаћи и разлику у поетском стилу двојице песника и истаћи да Лалић депатетизује </w:t>
            </w:r>
            <w:proofErr w:type="spellStart"/>
            <w:r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>Бојићеву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val="sr-Cyrl-RS" w:eastAsia="en-GB"/>
              </w:rPr>
              <w:t xml:space="preserve"> химничну реторику, али да тиме не поништава традиционалне вредности. 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18F" w:rsidRPr="00FD5743" w:rsidRDefault="00BB1728" w:rsidP="00186EA4">
            <w:pPr>
              <w:autoSpaceDE w:val="0"/>
              <w:autoSpaceDN w:val="0"/>
              <w:adjustRightInd w:val="0"/>
              <w:spacing w:after="113" w:line="240" w:lineRule="auto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BB17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У завршном делу часа, наставник сумира утиске о Лалићевој </w:t>
            </w:r>
            <w:r w:rsidRPr="00BB1728">
              <w:rPr>
                <w:rFonts w:ascii="Times New Roman" w:hAnsi="Times New Roman"/>
                <w:i/>
                <w:sz w:val="24"/>
                <w:szCs w:val="24"/>
                <w:lang w:val="sr-Cyrl-RS"/>
              </w:rPr>
              <w:t>Плавој гробници</w:t>
            </w:r>
            <w:r w:rsidRPr="00BB17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 врши кратку проверу знања путем упоређивања Лалићеве и </w:t>
            </w:r>
            <w:proofErr w:type="spellStart"/>
            <w:r w:rsidRPr="00BB1728">
              <w:rPr>
                <w:rFonts w:ascii="Times New Roman" w:hAnsi="Times New Roman"/>
                <w:sz w:val="24"/>
                <w:szCs w:val="24"/>
                <w:lang w:val="sr-Cyrl-RS"/>
              </w:rPr>
              <w:t>Бојићеве</w:t>
            </w:r>
            <w:proofErr w:type="spellEnd"/>
            <w:r w:rsidRPr="00BB172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истоимене песме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.</w:t>
            </w:r>
            <w:r w:rsidR="0068674B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Ученици истичу поруке песме.</w:t>
            </w:r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60" w:rsidRPr="00E07E5E" w:rsidRDefault="00F22097" w:rsidP="00E07E5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осматрање и бележење ученичког учешћа, закључивања и одговарања на постављена питања;</w:t>
            </w:r>
          </w:p>
          <w:p w:rsidR="00E07E5E" w:rsidRDefault="00655A60" w:rsidP="00E07E5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</w:pPr>
            <w:r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 xml:space="preserve">исказивање креативности и самосталности ученика </w:t>
            </w:r>
            <w:r w:rsidR="00F22097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при</w:t>
            </w:r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ликом тумачења текста;</w:t>
            </w:r>
          </w:p>
          <w:p w:rsidR="00AE5B81" w:rsidRPr="00E07E5E" w:rsidRDefault="00E07E5E" w:rsidP="00E07E5E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степен</w:t>
            </w:r>
            <w:r w:rsidR="00655A60" w:rsidRPr="00655A60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 xml:space="preserve"> повезивања претходно усво</w:t>
            </w:r>
            <w:r w:rsidR="00F22097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 w:val="sr-Cyrl-RS"/>
              </w:rPr>
              <w:t>јеног градива са новим градивом</w:t>
            </w:r>
            <w:bookmarkStart w:id="0" w:name="_GoBack"/>
            <w:bookmarkEnd w:id="0"/>
          </w:p>
        </w:tc>
      </w:tr>
      <w:tr w:rsidR="00AE5B81" w:rsidTr="00E0125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8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C6EC3" w:rsidRPr="009F177C" w:rsidRDefault="00AC6EC3" w:rsidP="00A05924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sectPr w:rsidR="00AC6EC3" w:rsidRPr="009F17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A507A"/>
    <w:multiLevelType w:val="hybridMultilevel"/>
    <w:tmpl w:val="71DA564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128F4"/>
    <w:multiLevelType w:val="hybridMultilevel"/>
    <w:tmpl w:val="9A6A63A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53B14"/>
    <w:multiLevelType w:val="hybridMultilevel"/>
    <w:tmpl w:val="AB9C1BD6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44C8B"/>
    <w:multiLevelType w:val="hybridMultilevel"/>
    <w:tmpl w:val="69A443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53807"/>
    <w:multiLevelType w:val="hybridMultilevel"/>
    <w:tmpl w:val="9F20298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05F9A"/>
    <w:multiLevelType w:val="hybridMultilevel"/>
    <w:tmpl w:val="E76CB972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703AC"/>
    <w:multiLevelType w:val="hybridMultilevel"/>
    <w:tmpl w:val="3C981CA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10" w15:restartNumberingAfterBreak="0">
    <w:nsid w:val="446E604C"/>
    <w:multiLevelType w:val="hybridMultilevel"/>
    <w:tmpl w:val="08947006"/>
    <w:lvl w:ilvl="0" w:tplc="241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42361"/>
    <w:multiLevelType w:val="hybridMultilevel"/>
    <w:tmpl w:val="D3F05960"/>
    <w:lvl w:ilvl="0" w:tplc="B7A01308">
      <w:start w:val="2"/>
      <w:numFmt w:val="bullet"/>
      <w:lvlText w:val="–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7830F3"/>
    <w:multiLevelType w:val="hybridMultilevel"/>
    <w:tmpl w:val="506A552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E94168"/>
    <w:multiLevelType w:val="hybridMultilevel"/>
    <w:tmpl w:val="88EA09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8"/>
  </w:num>
  <w:num w:numId="3">
    <w:abstractNumId w:val="14"/>
  </w:num>
  <w:num w:numId="4">
    <w:abstractNumId w:val="9"/>
  </w:num>
  <w:num w:numId="5">
    <w:abstractNumId w:val="7"/>
  </w:num>
  <w:num w:numId="6">
    <w:abstractNumId w:val="19"/>
  </w:num>
  <w:num w:numId="7">
    <w:abstractNumId w:val="15"/>
  </w:num>
  <w:num w:numId="8">
    <w:abstractNumId w:val="21"/>
  </w:num>
  <w:num w:numId="9">
    <w:abstractNumId w:val="20"/>
  </w:num>
  <w:num w:numId="10">
    <w:abstractNumId w:val="4"/>
  </w:num>
  <w:num w:numId="11">
    <w:abstractNumId w:val="13"/>
  </w:num>
  <w:num w:numId="12">
    <w:abstractNumId w:val="12"/>
  </w:num>
  <w:num w:numId="13">
    <w:abstractNumId w:val="8"/>
  </w:num>
  <w:num w:numId="14">
    <w:abstractNumId w:val="10"/>
  </w:num>
  <w:num w:numId="15">
    <w:abstractNumId w:val="17"/>
  </w:num>
  <w:num w:numId="16">
    <w:abstractNumId w:val="16"/>
  </w:num>
  <w:num w:numId="17">
    <w:abstractNumId w:val="0"/>
  </w:num>
  <w:num w:numId="18">
    <w:abstractNumId w:val="3"/>
  </w:num>
  <w:num w:numId="19">
    <w:abstractNumId w:val="2"/>
  </w:num>
  <w:num w:numId="20">
    <w:abstractNumId w:val="1"/>
  </w:num>
  <w:num w:numId="21">
    <w:abstractNumId w:val="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F4E"/>
    <w:rsid w:val="00000F20"/>
    <w:rsid w:val="000033D7"/>
    <w:rsid w:val="00036752"/>
    <w:rsid w:val="00051301"/>
    <w:rsid w:val="00051EB6"/>
    <w:rsid w:val="0005385E"/>
    <w:rsid w:val="0005447D"/>
    <w:rsid w:val="00056809"/>
    <w:rsid w:val="00081884"/>
    <w:rsid w:val="000911E7"/>
    <w:rsid w:val="000A40E0"/>
    <w:rsid w:val="000D07ED"/>
    <w:rsid w:val="000F64B8"/>
    <w:rsid w:val="00114013"/>
    <w:rsid w:val="00125206"/>
    <w:rsid w:val="00143BBD"/>
    <w:rsid w:val="00186EA4"/>
    <w:rsid w:val="0019096D"/>
    <w:rsid w:val="001961DC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21A5E"/>
    <w:rsid w:val="0022357E"/>
    <w:rsid w:val="0023033E"/>
    <w:rsid w:val="0024048A"/>
    <w:rsid w:val="00243BF1"/>
    <w:rsid w:val="0024502E"/>
    <w:rsid w:val="00247DD7"/>
    <w:rsid w:val="00250363"/>
    <w:rsid w:val="00252514"/>
    <w:rsid w:val="00254566"/>
    <w:rsid w:val="0026472E"/>
    <w:rsid w:val="00296E7D"/>
    <w:rsid w:val="002A5AB4"/>
    <w:rsid w:val="002B106F"/>
    <w:rsid w:val="002B1E96"/>
    <w:rsid w:val="002D53F8"/>
    <w:rsid w:val="002D7E4F"/>
    <w:rsid w:val="002F2498"/>
    <w:rsid w:val="002F7813"/>
    <w:rsid w:val="003078A1"/>
    <w:rsid w:val="00313110"/>
    <w:rsid w:val="00315084"/>
    <w:rsid w:val="0037550C"/>
    <w:rsid w:val="00381486"/>
    <w:rsid w:val="00381721"/>
    <w:rsid w:val="00392616"/>
    <w:rsid w:val="00394850"/>
    <w:rsid w:val="003A6CCB"/>
    <w:rsid w:val="003B52D5"/>
    <w:rsid w:val="003C36AD"/>
    <w:rsid w:val="00414FA9"/>
    <w:rsid w:val="00417FA4"/>
    <w:rsid w:val="00424BB1"/>
    <w:rsid w:val="00424F05"/>
    <w:rsid w:val="00430C17"/>
    <w:rsid w:val="00433325"/>
    <w:rsid w:val="004335D8"/>
    <w:rsid w:val="00437052"/>
    <w:rsid w:val="00444B86"/>
    <w:rsid w:val="004546F1"/>
    <w:rsid w:val="00462C75"/>
    <w:rsid w:val="004715A8"/>
    <w:rsid w:val="004743F7"/>
    <w:rsid w:val="00481368"/>
    <w:rsid w:val="00487930"/>
    <w:rsid w:val="004915C4"/>
    <w:rsid w:val="00494B88"/>
    <w:rsid w:val="00496823"/>
    <w:rsid w:val="004A45F8"/>
    <w:rsid w:val="004B4578"/>
    <w:rsid w:val="00510A45"/>
    <w:rsid w:val="00513D6C"/>
    <w:rsid w:val="00514862"/>
    <w:rsid w:val="0052479D"/>
    <w:rsid w:val="00536EF2"/>
    <w:rsid w:val="0054290F"/>
    <w:rsid w:val="00546121"/>
    <w:rsid w:val="005652A4"/>
    <w:rsid w:val="00585244"/>
    <w:rsid w:val="005A349E"/>
    <w:rsid w:val="005B07F8"/>
    <w:rsid w:val="005C2A55"/>
    <w:rsid w:val="005F0434"/>
    <w:rsid w:val="005F5045"/>
    <w:rsid w:val="00602AC6"/>
    <w:rsid w:val="00605CA9"/>
    <w:rsid w:val="00614B80"/>
    <w:rsid w:val="0062019C"/>
    <w:rsid w:val="00624C80"/>
    <w:rsid w:val="006361EB"/>
    <w:rsid w:val="00636C81"/>
    <w:rsid w:val="006535C4"/>
    <w:rsid w:val="00655A60"/>
    <w:rsid w:val="00663F7A"/>
    <w:rsid w:val="00682B1E"/>
    <w:rsid w:val="0068541D"/>
    <w:rsid w:val="0068674B"/>
    <w:rsid w:val="00691BCA"/>
    <w:rsid w:val="00695CEF"/>
    <w:rsid w:val="006A3B9F"/>
    <w:rsid w:val="006B5A3B"/>
    <w:rsid w:val="006C1E7D"/>
    <w:rsid w:val="006C2E39"/>
    <w:rsid w:val="006C75E6"/>
    <w:rsid w:val="006D24F1"/>
    <w:rsid w:val="006D60C6"/>
    <w:rsid w:val="00704C3D"/>
    <w:rsid w:val="007220E1"/>
    <w:rsid w:val="00761B85"/>
    <w:rsid w:val="00783BDE"/>
    <w:rsid w:val="00790E24"/>
    <w:rsid w:val="00793209"/>
    <w:rsid w:val="00796E83"/>
    <w:rsid w:val="00797EF4"/>
    <w:rsid w:val="007A562D"/>
    <w:rsid w:val="007A5837"/>
    <w:rsid w:val="007D3350"/>
    <w:rsid w:val="007D4FCF"/>
    <w:rsid w:val="007D75EC"/>
    <w:rsid w:val="007E08F8"/>
    <w:rsid w:val="00803774"/>
    <w:rsid w:val="00811026"/>
    <w:rsid w:val="00812858"/>
    <w:rsid w:val="00814A43"/>
    <w:rsid w:val="008339ED"/>
    <w:rsid w:val="008367E3"/>
    <w:rsid w:val="00841682"/>
    <w:rsid w:val="00846C5E"/>
    <w:rsid w:val="008A54C9"/>
    <w:rsid w:val="008A7A5E"/>
    <w:rsid w:val="008C0C2C"/>
    <w:rsid w:val="008C5B8E"/>
    <w:rsid w:val="008D0F56"/>
    <w:rsid w:val="008F7ADA"/>
    <w:rsid w:val="009015F9"/>
    <w:rsid w:val="00903D03"/>
    <w:rsid w:val="009114D6"/>
    <w:rsid w:val="00920514"/>
    <w:rsid w:val="009243F4"/>
    <w:rsid w:val="00930A4B"/>
    <w:rsid w:val="00961F08"/>
    <w:rsid w:val="00967EFF"/>
    <w:rsid w:val="00970A49"/>
    <w:rsid w:val="00974529"/>
    <w:rsid w:val="00975189"/>
    <w:rsid w:val="009839E6"/>
    <w:rsid w:val="009A08FD"/>
    <w:rsid w:val="009E47EB"/>
    <w:rsid w:val="009F177C"/>
    <w:rsid w:val="00A05924"/>
    <w:rsid w:val="00A07934"/>
    <w:rsid w:val="00A10BBF"/>
    <w:rsid w:val="00A11A62"/>
    <w:rsid w:val="00A32C24"/>
    <w:rsid w:val="00A35043"/>
    <w:rsid w:val="00A431EE"/>
    <w:rsid w:val="00A60A04"/>
    <w:rsid w:val="00A625CA"/>
    <w:rsid w:val="00A67E0E"/>
    <w:rsid w:val="00A77AEB"/>
    <w:rsid w:val="00A83BE1"/>
    <w:rsid w:val="00A859C4"/>
    <w:rsid w:val="00A92E01"/>
    <w:rsid w:val="00A93D90"/>
    <w:rsid w:val="00AC4E67"/>
    <w:rsid w:val="00AC6EC3"/>
    <w:rsid w:val="00AE15C4"/>
    <w:rsid w:val="00AE5B81"/>
    <w:rsid w:val="00AF404E"/>
    <w:rsid w:val="00B01849"/>
    <w:rsid w:val="00B05E97"/>
    <w:rsid w:val="00B16383"/>
    <w:rsid w:val="00B31EA8"/>
    <w:rsid w:val="00B40BDA"/>
    <w:rsid w:val="00B87EB4"/>
    <w:rsid w:val="00BA7DAC"/>
    <w:rsid w:val="00BB1728"/>
    <w:rsid w:val="00BC3240"/>
    <w:rsid w:val="00BD5865"/>
    <w:rsid w:val="00C12852"/>
    <w:rsid w:val="00C21098"/>
    <w:rsid w:val="00C266C8"/>
    <w:rsid w:val="00C35FF1"/>
    <w:rsid w:val="00C47BC8"/>
    <w:rsid w:val="00C50E3A"/>
    <w:rsid w:val="00C56C42"/>
    <w:rsid w:val="00C825B0"/>
    <w:rsid w:val="00C8408D"/>
    <w:rsid w:val="00C84581"/>
    <w:rsid w:val="00C94E20"/>
    <w:rsid w:val="00CA557B"/>
    <w:rsid w:val="00CA6DE9"/>
    <w:rsid w:val="00CC61AE"/>
    <w:rsid w:val="00CC7AF8"/>
    <w:rsid w:val="00CD1F5A"/>
    <w:rsid w:val="00CD4BB9"/>
    <w:rsid w:val="00CD59AE"/>
    <w:rsid w:val="00CD6938"/>
    <w:rsid w:val="00CE4A1C"/>
    <w:rsid w:val="00D014E5"/>
    <w:rsid w:val="00D13AC9"/>
    <w:rsid w:val="00D20CCB"/>
    <w:rsid w:val="00D220D0"/>
    <w:rsid w:val="00D33397"/>
    <w:rsid w:val="00D348FC"/>
    <w:rsid w:val="00D61E0E"/>
    <w:rsid w:val="00D72283"/>
    <w:rsid w:val="00D75F4E"/>
    <w:rsid w:val="00D75F79"/>
    <w:rsid w:val="00D8418F"/>
    <w:rsid w:val="00DA4E94"/>
    <w:rsid w:val="00DB0456"/>
    <w:rsid w:val="00DD1FF1"/>
    <w:rsid w:val="00DF3996"/>
    <w:rsid w:val="00E01251"/>
    <w:rsid w:val="00E02A87"/>
    <w:rsid w:val="00E041B8"/>
    <w:rsid w:val="00E07E5E"/>
    <w:rsid w:val="00E22036"/>
    <w:rsid w:val="00E338A0"/>
    <w:rsid w:val="00E353A6"/>
    <w:rsid w:val="00E447A2"/>
    <w:rsid w:val="00E60303"/>
    <w:rsid w:val="00E62D0D"/>
    <w:rsid w:val="00E67F2B"/>
    <w:rsid w:val="00E80230"/>
    <w:rsid w:val="00E84CDA"/>
    <w:rsid w:val="00E935DB"/>
    <w:rsid w:val="00E95D3D"/>
    <w:rsid w:val="00EA1F33"/>
    <w:rsid w:val="00EA62D9"/>
    <w:rsid w:val="00EB68A3"/>
    <w:rsid w:val="00ED431B"/>
    <w:rsid w:val="00F02B0B"/>
    <w:rsid w:val="00F154D7"/>
    <w:rsid w:val="00F22097"/>
    <w:rsid w:val="00F3378B"/>
    <w:rsid w:val="00F45A64"/>
    <w:rsid w:val="00F47949"/>
    <w:rsid w:val="00F65FD2"/>
    <w:rsid w:val="00F7602C"/>
    <w:rsid w:val="00F8052E"/>
    <w:rsid w:val="00F95632"/>
    <w:rsid w:val="00FA5DF7"/>
    <w:rsid w:val="00FB1B57"/>
    <w:rsid w:val="00FC010D"/>
    <w:rsid w:val="00FD5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6F39FC-1CAD-4712-A546-5AD8B3E52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AE5B81"/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paragraph" w:styleId="Footer">
    <w:name w:val="footer"/>
    <w:basedOn w:val="Normal"/>
    <w:link w:val="Footer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 w:val="sr-Latn-R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14A43"/>
  </w:style>
  <w:style w:type="paragraph" w:styleId="NoSpacing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PC</cp:lastModifiedBy>
  <cp:revision>26</cp:revision>
  <dcterms:created xsi:type="dcterms:W3CDTF">2023-02-02T14:41:00Z</dcterms:created>
  <dcterms:modified xsi:type="dcterms:W3CDTF">2023-02-05T17:43:00Z</dcterms:modified>
</cp:coreProperties>
</file>