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8"/>
        <w:gridCol w:w="1693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086A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71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AA019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Језик/Општа лингвистика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86A2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 w:rsidRPr="00086A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Општа лингвистика:</w:t>
            </w:r>
          </w:p>
          <w:p w:rsidR="00000000" w:rsidRDefault="00086A2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 w:rsidRPr="00086A28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Значај писма за културни и национални идентитет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73CCF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Освестити код ученика да је писмо, као и језик, симбол националног идентитета и указати на значај његовог очувања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000000" w:rsidRDefault="00001263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наведе претече данашњег писма</w:t>
            </w:r>
            <w:r w:rsidR="00E67CF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00000" w:rsidRDefault="00001263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разликује фазе у развоју писма;</w:t>
            </w:r>
          </w:p>
          <w:p w:rsidR="00000000" w:rsidRDefault="00001263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наведе називе знакова којима се служе одређена писма;</w:t>
            </w:r>
          </w:p>
          <w:p w:rsidR="00000000" w:rsidRDefault="002976F9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сагледа процес стандардизације књижевног језика и правописа код Срба;</w:t>
            </w:r>
          </w:p>
          <w:p w:rsidR="00000000" w:rsidRDefault="00001263">
            <w:pPr>
              <w:numPr>
                <w:ilvl w:val="0"/>
                <w:numId w:val="4"/>
              </w:numPr>
              <w:spacing w:after="0" w:line="240" w:lineRule="auto"/>
              <w:ind w:right="144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општелингвистичка знања о развоју и значају писма</w:t>
            </w:r>
            <w:r w:rsidR="007F756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976F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сторија, с</w:t>
            </w:r>
            <w:r w:rsidR="006D2B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трани језици</w:t>
            </w:r>
            <w:r w:rsidR="00274D3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унутарпредметна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23DF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Писмо, </w:t>
            </w:r>
            <w:r w:rsidR="00B83F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алфабетско</w:t>
            </w:r>
            <w:r w:rsidR="00086A2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глагољица, ћирилица, </w:t>
            </w:r>
            <w:r w:rsidR="007B7DA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фонетско, </w:t>
            </w:r>
            <w:r w:rsidR="00086A2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значај</w:t>
            </w:r>
            <w:r w:rsidR="007B7DAB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културни и национални идентитет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B436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Default="00832D1E" w:rsidP="000012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</w:p>
          <w:p w:rsidR="00086A28" w:rsidRPr="00001263" w:rsidRDefault="00086A28" w:rsidP="00086A2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Обнов</w:t>
            </w:r>
            <w:r w:rsidR="007F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љање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градив</w:t>
            </w:r>
            <w:r w:rsidR="007F756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о </w:t>
            </w:r>
            <w:r w:rsidR="00C74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фазама развоја писма; називе</w:t>
            </w:r>
            <w:r w:rsidRPr="0008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знакова писама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1D5501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86A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 грчког писма су настала и два словенска писма – </w:t>
            </w:r>
            <w:r w:rsidRPr="00086A2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глагољица</w:t>
            </w:r>
            <w:r w:rsidRPr="00086A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086A28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ћирилица</w:t>
            </w:r>
            <w:r w:rsidR="00C74983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(подсетити се укратко почетака словенске писмености, солунске браће Ћирила и Методија).</w:t>
            </w:r>
          </w:p>
          <w:p w:rsidR="00000000" w:rsidRDefault="00086A2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086A28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Писмо (као и језик) може бити симбол националне припадности. </w:t>
            </w:r>
          </w:p>
          <w:p w:rsidR="00000000" w:rsidRDefault="00AA019B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Ћирилица, као прво и традиционално српско писмо, један је од симбола српског националног идентитета.</w:t>
            </w:r>
          </w:p>
          <w:p w:rsidR="00000000" w:rsidRDefault="002976F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2976F9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Обновити градиво о почетку стандардизације књижевног језика и правописа код Срба у првој половини 19. века:</w:t>
            </w:r>
          </w:p>
          <w:p w:rsidR="00000000" w:rsidRDefault="00CD69A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Подсетити ученике да је најстарија сачувана српска ћирилска повеља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Повеља Кулина бана,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написана народним језиком крајем 12. века. Најпознатији законик писан народним језиком је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Душанов законик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из 14. века.  </w:t>
            </w:r>
          </w:p>
          <w:p w:rsidR="00000000" w:rsidRDefault="00CD69A2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Подсетити се и указати на значајну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улогу Доситеја Обрадовића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lastRenderedPageBreak/>
              <w:t xml:space="preserve">који 1783. године у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Писму Харалампију </w:t>
            </w:r>
            <w:r w:rsidRPr="00CD69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говори о потреби 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учени људи пиш</w:t>
            </w:r>
            <w:r w:rsidRPr="00CD69A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народним језиком.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000000" w:rsidRDefault="007B7DAB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Доситеј је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писао на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народном језику и изостављањем слова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дебело јер</w:t>
            </w:r>
            <w:r w:rsidR="00FA71EE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2976F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(име једног слова старе азбуке) започео ново раздобље у српској књижевности.</w:t>
            </w:r>
          </w:p>
          <w:p w:rsidR="00000000" w:rsidRDefault="00D76637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Сава Мркаљ је 1810. реформисао ћирилицу у свом кратком спису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Сало дебелога јера либо азбукопротрес.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Он се залагао за то да сваком гласу одговара једно слово, што је, са малим изузетком спровео у дело. Мркаљева реформа није спроведена у дело јер се са његовим решењима црква није сагласила.</w:t>
            </w:r>
          </w:p>
          <w:p w:rsidR="00000000" w:rsidRDefault="00EE0509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Највећу заслугу за реформу језика,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писма и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правописа код Срба имао је Вук Стефановић Караџић. Вукова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Писменица сербскога језика,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прва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штампана граматика српског језика, штампана је Мркаљевом азбуком. Појава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Српског рјечника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(1918) један 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је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од најважнијих догађаја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 историји српске културе и ово је прво дело штампано Вуковом реформисаном ћирилицом. Мркаљеву реформу ћирилице Вук је спровео до краја и створио азбуку у којој сваком гласу одговара једно слово.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Што се правописа тиче, Вук је у </w:t>
            </w:r>
            <w:r w:rsidR="00E86525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Српском рјечнику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први пут применио начело 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„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пиши као што говориш</w:t>
            </w:r>
            <w:r w:rsidR="00EA336A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”</w:t>
            </w:r>
            <w:r w:rsidR="00E8652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 Тако је српски правопис постао фонетски. Вукове идеје однеле су победу 1847. године. Четири године после Вукове смрти, 1868, озваничени су његов језик и правопис.</w:t>
            </w:r>
          </w:p>
          <w:p w:rsidR="00000000" w:rsidRDefault="00E86525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Током прве половине 20. века, у области лингвистике, дијалектологије, историје језика и савременог језика најзначајнији је рад Александра Белића.</w:t>
            </w:r>
            <w:r w:rsidR="00773C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Он је 1923. године објавио </w:t>
            </w:r>
            <w:r w:rsidR="00773CCF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Правопис српскохрватског књижевног језика. </w:t>
            </w:r>
            <w:r w:rsidR="00773C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После Новосадског договора 1954, званично је усвојен </w:t>
            </w:r>
            <w:r w:rsidR="00773CCF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Правопис српскохрватскога књижевног језика </w:t>
            </w:r>
            <w:r w:rsidR="00773C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Матице српске и Матице хрватске,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773CC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који ће важити до деведесетих година 20. века.</w:t>
            </w:r>
          </w:p>
          <w:p w:rsidR="00000000" w:rsidRDefault="00773CCF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После 1991. године, термин српскохрватски је</w:t>
            </w:r>
            <w:r w:rsidR="00902026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престао да се употребљава. Срби су се вратили термину српски језик.</w:t>
            </w:r>
          </w:p>
          <w:p w:rsidR="00000000" w:rsidRDefault="003316F6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Ученици добијају задатак да за десет минута напишу пет-шест реченица у којима износе своје мишљење о важности и значају писма (ћирилице)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као симбола националног идентита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,</w:t>
            </w: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очувањ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</w:t>
            </w: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 националног идентитета. </w:t>
            </w:r>
          </w:p>
          <w:p w:rsidR="00000000" w:rsidRDefault="003316F6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3316F6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Ученици читају своје записе и коментаришу, дискутују.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FB4367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731956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5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 w:rsidR="00086A2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написати састав: </w:t>
            </w:r>
            <w:r w:rsidR="00C7498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Језик и писмо – симболи националног идентитета.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A336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планираних активности</w:t>
            </w:r>
            <w:r w:rsidR="00FE6E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8"/>
  </w:num>
  <w:num w:numId="4">
    <w:abstractNumId w:val="1"/>
  </w:num>
  <w:num w:numId="5">
    <w:abstractNumId w:val="20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  <w:num w:numId="22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86A28"/>
    <w:rsid w:val="000A2C29"/>
    <w:rsid w:val="000B060B"/>
    <w:rsid w:val="000F5C1F"/>
    <w:rsid w:val="00114D9E"/>
    <w:rsid w:val="001732B4"/>
    <w:rsid w:val="001929B8"/>
    <w:rsid w:val="00195E41"/>
    <w:rsid w:val="00196440"/>
    <w:rsid w:val="001D0C62"/>
    <w:rsid w:val="001D5501"/>
    <w:rsid w:val="001F795F"/>
    <w:rsid w:val="0021687F"/>
    <w:rsid w:val="0027210A"/>
    <w:rsid w:val="00273D23"/>
    <w:rsid w:val="00274D35"/>
    <w:rsid w:val="002908DF"/>
    <w:rsid w:val="002976F9"/>
    <w:rsid w:val="00323DF4"/>
    <w:rsid w:val="003316F6"/>
    <w:rsid w:val="00333AEC"/>
    <w:rsid w:val="003644B4"/>
    <w:rsid w:val="00370FA2"/>
    <w:rsid w:val="00372E29"/>
    <w:rsid w:val="004206F0"/>
    <w:rsid w:val="00421C5A"/>
    <w:rsid w:val="004521E3"/>
    <w:rsid w:val="00460D94"/>
    <w:rsid w:val="004E6DE8"/>
    <w:rsid w:val="00547EAE"/>
    <w:rsid w:val="005510C1"/>
    <w:rsid w:val="00584C4E"/>
    <w:rsid w:val="005A3528"/>
    <w:rsid w:val="005B52DD"/>
    <w:rsid w:val="005E5612"/>
    <w:rsid w:val="00612130"/>
    <w:rsid w:val="006605DF"/>
    <w:rsid w:val="00680488"/>
    <w:rsid w:val="0069339C"/>
    <w:rsid w:val="006A36C4"/>
    <w:rsid w:val="006A3910"/>
    <w:rsid w:val="006D2BF5"/>
    <w:rsid w:val="00700F08"/>
    <w:rsid w:val="0071603A"/>
    <w:rsid w:val="00726C07"/>
    <w:rsid w:val="00731956"/>
    <w:rsid w:val="00757717"/>
    <w:rsid w:val="00773CCF"/>
    <w:rsid w:val="00785309"/>
    <w:rsid w:val="007B3E08"/>
    <w:rsid w:val="007B5495"/>
    <w:rsid w:val="007B7DAB"/>
    <w:rsid w:val="007C19CB"/>
    <w:rsid w:val="007F756D"/>
    <w:rsid w:val="0081417C"/>
    <w:rsid w:val="00832D1E"/>
    <w:rsid w:val="00832DD8"/>
    <w:rsid w:val="00844786"/>
    <w:rsid w:val="00886C8F"/>
    <w:rsid w:val="008A681F"/>
    <w:rsid w:val="00902026"/>
    <w:rsid w:val="00920C08"/>
    <w:rsid w:val="00970935"/>
    <w:rsid w:val="009731F2"/>
    <w:rsid w:val="009B3343"/>
    <w:rsid w:val="009C24D9"/>
    <w:rsid w:val="009E20DF"/>
    <w:rsid w:val="00A025A1"/>
    <w:rsid w:val="00A07528"/>
    <w:rsid w:val="00A70BF8"/>
    <w:rsid w:val="00A83127"/>
    <w:rsid w:val="00A91EB7"/>
    <w:rsid w:val="00AA019B"/>
    <w:rsid w:val="00B52741"/>
    <w:rsid w:val="00B618BA"/>
    <w:rsid w:val="00B67532"/>
    <w:rsid w:val="00B72D98"/>
    <w:rsid w:val="00B74364"/>
    <w:rsid w:val="00B83F13"/>
    <w:rsid w:val="00B90BAA"/>
    <w:rsid w:val="00BE764D"/>
    <w:rsid w:val="00BF79A9"/>
    <w:rsid w:val="00C1105F"/>
    <w:rsid w:val="00C74983"/>
    <w:rsid w:val="00C75FC8"/>
    <w:rsid w:val="00C827FB"/>
    <w:rsid w:val="00CB1C9D"/>
    <w:rsid w:val="00CD69A2"/>
    <w:rsid w:val="00CF3F7C"/>
    <w:rsid w:val="00D230F4"/>
    <w:rsid w:val="00D630DE"/>
    <w:rsid w:val="00D76637"/>
    <w:rsid w:val="00D810B7"/>
    <w:rsid w:val="00D82676"/>
    <w:rsid w:val="00DC6422"/>
    <w:rsid w:val="00E4387F"/>
    <w:rsid w:val="00E67CF5"/>
    <w:rsid w:val="00E80141"/>
    <w:rsid w:val="00E86525"/>
    <w:rsid w:val="00EA1298"/>
    <w:rsid w:val="00EA336A"/>
    <w:rsid w:val="00EB0191"/>
    <w:rsid w:val="00EB5D12"/>
    <w:rsid w:val="00ED0D2D"/>
    <w:rsid w:val="00EE0509"/>
    <w:rsid w:val="00EE5B4B"/>
    <w:rsid w:val="00F07427"/>
    <w:rsid w:val="00F16730"/>
    <w:rsid w:val="00F16C7B"/>
    <w:rsid w:val="00F26266"/>
    <w:rsid w:val="00F627D7"/>
    <w:rsid w:val="00F82B8A"/>
    <w:rsid w:val="00FA3129"/>
    <w:rsid w:val="00FA71EE"/>
    <w:rsid w:val="00FB4367"/>
    <w:rsid w:val="00FE6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935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1929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1929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799F1-E0D5-4991-A062-639632798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1</Pages>
  <Words>634</Words>
  <Characters>3616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2022-11-26T18:30:00Z</dcterms:created>
  <dcterms:modified xsi:type="dcterms:W3CDTF">2022-12-05T10:15:00Z</dcterms:modified>
</cp:coreProperties>
</file>